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B21A0" w14:textId="77777777" w:rsidR="00F06AFD" w:rsidRDefault="00F06AFD" w:rsidP="00F06AFD">
      <w:pPr>
        <w:pBdr>
          <w:top w:val="single" w:sz="4" w:space="1" w:color="auto"/>
          <w:left w:val="single" w:sz="4" w:space="4" w:color="auto"/>
          <w:bottom w:val="single" w:sz="4" w:space="1" w:color="auto"/>
          <w:right w:val="single" w:sz="4" w:space="4" w:color="auto"/>
        </w:pBdr>
        <w:jc w:val="center"/>
        <w:rPr>
          <w:b/>
        </w:rPr>
      </w:pPr>
      <w:r>
        <w:rPr>
          <w:b/>
        </w:rPr>
        <w:t>Compte rendu du séminaire national du 19 mars 2012 sur les nouveaux programmes de terminale.</w:t>
      </w:r>
    </w:p>
    <w:p w14:paraId="7E78B1F6" w14:textId="17A1CADF" w:rsidR="00F06AFD" w:rsidRPr="00A13688" w:rsidRDefault="00F06AFD" w:rsidP="00A13688">
      <w:pPr>
        <w:pBdr>
          <w:top w:val="single" w:sz="4" w:space="1" w:color="auto"/>
          <w:left w:val="single" w:sz="4" w:space="4" w:color="auto"/>
          <w:bottom w:val="single" w:sz="4" w:space="1" w:color="auto"/>
          <w:right w:val="single" w:sz="4" w:space="4" w:color="auto"/>
        </w:pBdr>
        <w:jc w:val="center"/>
        <w:rPr>
          <w:b/>
        </w:rPr>
      </w:pPr>
      <w:r>
        <w:rPr>
          <w:b/>
        </w:rPr>
        <w:t>Conférence : Zone euro, no future. Jacques Lecacheux.</w:t>
      </w:r>
    </w:p>
    <w:p w14:paraId="2B9CD3EB" w14:textId="77777777" w:rsidR="00F06AFD" w:rsidRDefault="00F06AFD" w:rsidP="001D5113">
      <w:pPr>
        <w:jc w:val="center"/>
      </w:pPr>
    </w:p>
    <w:p w14:paraId="7462E74F" w14:textId="34F09060" w:rsidR="001D5113" w:rsidRDefault="001D5113" w:rsidP="00BD4821"/>
    <w:p w14:paraId="6EFDE27B" w14:textId="7CA581B2" w:rsidR="0095766B" w:rsidRPr="00AC1DFD" w:rsidRDefault="00BD4821" w:rsidP="001A577E">
      <w:pPr>
        <w:jc w:val="both"/>
        <w:rPr>
          <w:u w:val="single"/>
        </w:rPr>
      </w:pPr>
      <w:r>
        <w:rPr>
          <w:b/>
          <w:u w:val="single"/>
        </w:rPr>
        <w:t>Présentation du</w:t>
      </w:r>
      <w:r w:rsidR="00AC1DFD">
        <w:rPr>
          <w:b/>
          <w:u w:val="single"/>
        </w:rPr>
        <w:t xml:space="preserve"> c</w:t>
      </w:r>
      <w:r w:rsidR="001D5113" w:rsidRPr="00AC1DFD">
        <w:rPr>
          <w:b/>
          <w:u w:val="single"/>
        </w:rPr>
        <w:t>ontexte immédiat </w:t>
      </w:r>
      <w:r w:rsidR="001D5113" w:rsidRPr="00AC1DFD">
        <w:rPr>
          <w:u w:val="single"/>
        </w:rPr>
        <w:t xml:space="preserve">: </w:t>
      </w:r>
    </w:p>
    <w:p w14:paraId="1150BF35" w14:textId="5DB6E77A" w:rsidR="001D5113" w:rsidRDefault="0095766B" w:rsidP="001A577E">
      <w:pPr>
        <w:jc w:val="both"/>
      </w:pPr>
      <w:r>
        <w:t>On observe une accalmie :</w:t>
      </w:r>
      <w:r w:rsidR="001D5113">
        <w:t xml:space="preserve"> taux d’intérêt en baisse, </w:t>
      </w:r>
      <w:r>
        <w:t xml:space="preserve">les </w:t>
      </w:r>
      <w:r w:rsidR="001D5113">
        <w:t>programme</w:t>
      </w:r>
      <w:r w:rsidR="003318A6">
        <w:t>s</w:t>
      </w:r>
      <w:r w:rsidR="001D5113">
        <w:t xml:space="preserve"> arrivent à financer </w:t>
      </w:r>
      <w:r>
        <w:t xml:space="preserve">le </w:t>
      </w:r>
      <w:r w:rsidR="001D5113">
        <w:t xml:space="preserve">déficit à </w:t>
      </w:r>
      <w:r>
        <w:t xml:space="preserve">un </w:t>
      </w:r>
      <w:r w:rsidR="001D5113">
        <w:t>taux d’intérêt plus faible</w:t>
      </w:r>
      <w:r>
        <w:t>.  Cependant</w:t>
      </w:r>
      <w:r w:rsidR="001D5113">
        <w:t xml:space="preserve">, </w:t>
      </w:r>
      <w:r>
        <w:t xml:space="preserve">la </w:t>
      </w:r>
      <w:r w:rsidR="001D5113">
        <w:t>récession</w:t>
      </w:r>
      <w:r>
        <w:t xml:space="preserve"> est là avec une </w:t>
      </w:r>
      <w:r w:rsidR="001D5113">
        <w:t xml:space="preserve"> croissance négative dans la zone euro</w:t>
      </w:r>
      <w:r>
        <w:t>.</w:t>
      </w:r>
      <w:r w:rsidR="001D5113">
        <w:t xml:space="preserve"> </w:t>
      </w:r>
      <w:r>
        <w:t>L’</w:t>
      </w:r>
      <w:r w:rsidR="001D5113">
        <w:t xml:space="preserve">Europe du Sud </w:t>
      </w:r>
      <w:r>
        <w:t>est en récession. La</w:t>
      </w:r>
      <w:r w:rsidR="001D5113">
        <w:t xml:space="preserve"> Grèce, </w:t>
      </w:r>
      <w:r>
        <w:t xml:space="preserve">le </w:t>
      </w:r>
      <w:r w:rsidR="001D5113">
        <w:t xml:space="preserve">Portugal, </w:t>
      </w:r>
      <w:r>
        <w:t>et l’Espagne ont des taux de chômage très élevés (A</w:t>
      </w:r>
      <w:r w:rsidR="001D5113">
        <w:t>ll</w:t>
      </w:r>
      <w:r>
        <w:t>emagne</w:t>
      </w:r>
      <w:r w:rsidR="001D5113">
        <w:t xml:space="preserve"> 7%, </w:t>
      </w:r>
      <w:r>
        <w:t xml:space="preserve">l’Espagne a un </w:t>
      </w:r>
      <w:r w:rsidR="001D5113">
        <w:t xml:space="preserve"> </w:t>
      </w:r>
      <w:r>
        <w:t xml:space="preserve">taux </w:t>
      </w:r>
      <w:r w:rsidR="001D5113">
        <w:t>sup</w:t>
      </w:r>
      <w:r>
        <w:t>érieur à 20%  Grèce 20%</w:t>
      </w:r>
      <w:r w:rsidR="001D5113">
        <w:t xml:space="preserve">). </w:t>
      </w:r>
      <w:r>
        <w:t xml:space="preserve"> Cette s</w:t>
      </w:r>
      <w:r w:rsidR="001D5113">
        <w:t xml:space="preserve">ituation contraste avec le reste du monde. Certains pays émergents </w:t>
      </w:r>
      <w:r>
        <w:t xml:space="preserve">connaissent un </w:t>
      </w:r>
      <w:r w:rsidR="001D5113">
        <w:t xml:space="preserve">ralentissement mais </w:t>
      </w:r>
      <w:r>
        <w:t xml:space="preserve">leur </w:t>
      </w:r>
      <w:r w:rsidR="001D5113">
        <w:t xml:space="preserve">taux de croissance </w:t>
      </w:r>
      <w:r>
        <w:t xml:space="preserve">reste positif. Les USA ont une </w:t>
      </w:r>
      <w:r w:rsidR="001D5113">
        <w:t xml:space="preserve">croissance </w:t>
      </w:r>
      <w:r>
        <w:t>également positive (</w:t>
      </w:r>
      <w:r w:rsidR="001D5113">
        <w:t>voisine de 3%</w:t>
      </w:r>
      <w:r>
        <w:t xml:space="preserve"> en 2011</w:t>
      </w:r>
      <w:r w:rsidR="001D5113">
        <w:t>, 2012 + de 2 %</w:t>
      </w:r>
      <w:r>
        <w:t>)</w:t>
      </w:r>
      <w:r w:rsidR="001D5113">
        <w:t xml:space="preserve">. </w:t>
      </w:r>
      <w:r>
        <w:t xml:space="preserve">La crise a pris naissance </w:t>
      </w:r>
      <w:r w:rsidR="001D5113">
        <w:t xml:space="preserve"> aux USA mais </w:t>
      </w:r>
      <w:r>
        <w:t xml:space="preserve">les conséquences de la crise sont </w:t>
      </w:r>
      <w:r w:rsidR="001D5113">
        <w:t xml:space="preserve">plus graves en Europe qu’aux USA et plus  longues en Europe qu’aux USA.  Au départ, </w:t>
      </w:r>
      <w:r>
        <w:t xml:space="preserve">le </w:t>
      </w:r>
      <w:r w:rsidR="001D5113">
        <w:t xml:space="preserve">discours sur l’euro </w:t>
      </w:r>
      <w:r w:rsidR="00956CC2">
        <w:t xml:space="preserve">était </w:t>
      </w:r>
      <w:r w:rsidR="001D5113">
        <w:t xml:space="preserve">positif et </w:t>
      </w:r>
      <w:r>
        <w:t xml:space="preserve">la </w:t>
      </w:r>
      <w:r w:rsidR="001D5113">
        <w:t xml:space="preserve">crise de 2008 </w:t>
      </w:r>
      <w:r>
        <w:t>ne devait qu’être passagère</w:t>
      </w:r>
      <w:r w:rsidR="00956CC2">
        <w:t>. M</w:t>
      </w:r>
      <w:r>
        <w:t>ais trois</w:t>
      </w:r>
      <w:r w:rsidR="001D5113">
        <w:t xml:space="preserve"> ans plus tard</w:t>
      </w:r>
      <w:r>
        <w:t>,</w:t>
      </w:r>
      <w:r w:rsidR="001D5113">
        <w:t xml:space="preserve"> </w:t>
      </w:r>
      <w:r>
        <w:t xml:space="preserve">on assiste à une </w:t>
      </w:r>
      <w:r w:rsidR="001D5113">
        <w:t xml:space="preserve">évolution du discours. </w:t>
      </w:r>
      <w:r>
        <w:t>La m</w:t>
      </w:r>
      <w:r w:rsidR="001D5113">
        <w:t>o</w:t>
      </w:r>
      <w:r w:rsidR="00956CC2">
        <w:t>nnaie européenne s’est dépréciée.  L</w:t>
      </w:r>
      <w:r w:rsidR="001D5113">
        <w:t>e cours reste</w:t>
      </w:r>
      <w:r w:rsidR="00956CC2">
        <w:t xml:space="preserve"> cependant,</w:t>
      </w:r>
      <w:r w:rsidR="001D5113">
        <w:t xml:space="preserve"> supérieur au niveau qu’il avait à son lancement. </w:t>
      </w:r>
      <w:r>
        <w:t>Les d</w:t>
      </w:r>
      <w:r w:rsidR="001D5113">
        <w:t xml:space="preserve">irigeants européens ont </w:t>
      </w:r>
      <w:r w:rsidR="00956CC2">
        <w:t xml:space="preserve">également </w:t>
      </w:r>
      <w:r w:rsidR="001D5113">
        <w:t>beaucoup de mal à faire émerger une gouvernance économique efficace et performante.</w:t>
      </w:r>
    </w:p>
    <w:p w14:paraId="61C41152" w14:textId="77777777" w:rsidR="001D5113" w:rsidRDefault="001D5113" w:rsidP="001D5113">
      <w:pPr>
        <w:jc w:val="center"/>
      </w:pPr>
    </w:p>
    <w:p w14:paraId="39D9520D" w14:textId="7740C621" w:rsidR="001D5113" w:rsidRDefault="00DF623C" w:rsidP="001A577E">
      <w:pPr>
        <w:jc w:val="both"/>
      </w:pPr>
      <w:r>
        <w:t>La c</w:t>
      </w:r>
      <w:r w:rsidR="001D5113">
        <w:t xml:space="preserve">rise globale au départ est une crise de surendettement. </w:t>
      </w:r>
      <w:r>
        <w:t>La t</w:t>
      </w:r>
      <w:r w:rsidR="001D5113">
        <w:t xml:space="preserve">héorie standard </w:t>
      </w:r>
      <w:r>
        <w:t xml:space="preserve">explique généralement les </w:t>
      </w:r>
      <w:r w:rsidR="001D5113">
        <w:t>fluctua</w:t>
      </w:r>
      <w:r>
        <w:t xml:space="preserve">tions de la croissance </w:t>
      </w:r>
      <w:r w:rsidR="001D5113">
        <w:t xml:space="preserve"> par des chocs exogènes</w:t>
      </w:r>
      <w:r w:rsidR="00680B67">
        <w:t xml:space="preserve">. </w:t>
      </w:r>
      <w:r>
        <w:t>Or, e</w:t>
      </w:r>
      <w:r w:rsidR="00680B67">
        <w:t>mpiriquement cette</w:t>
      </w:r>
      <w:r>
        <w:t xml:space="preserve"> analyse n’est pas opératoire. À</w:t>
      </w:r>
      <w:r w:rsidR="00680B67">
        <w:t xml:space="preserve"> la différence des autres récessions dont on peut clairement identifier l’origine dans des chocs exogènes</w:t>
      </w:r>
      <w:r>
        <w:t>,</w:t>
      </w:r>
      <w:r w:rsidR="00680B67">
        <w:t xml:space="preserve"> celle-ci </w:t>
      </w:r>
      <w:r>
        <w:t xml:space="preserve">est </w:t>
      </w:r>
      <w:r w:rsidR="00680B67">
        <w:t xml:space="preserve">difficilement explicable dans le cadre de la macroéconomie. </w:t>
      </w:r>
      <w:r>
        <w:t xml:space="preserve">Elle a pour origine un choc endogène et </w:t>
      </w:r>
      <w:r w:rsidR="00680B67">
        <w:t xml:space="preserve">les évolutions de la finance en parallèle. </w:t>
      </w:r>
      <w:r w:rsidR="00956CC2">
        <w:t>On peut expliquer la récession de 1974 par u</w:t>
      </w:r>
      <w:r w:rsidR="008A0B5A">
        <w:t>n choc exogène (choc pétrolier)</w:t>
      </w:r>
      <w:r w:rsidR="00680B67">
        <w:t xml:space="preserve">, </w:t>
      </w:r>
      <w:r w:rsidR="00BD4821">
        <w:t>la récession de 1993-</w:t>
      </w:r>
      <w:r w:rsidR="00956CC2">
        <w:t xml:space="preserve">1994 </w:t>
      </w:r>
      <w:r w:rsidR="008A0B5A">
        <w:t xml:space="preserve">par un </w:t>
      </w:r>
      <w:r w:rsidR="00680B67">
        <w:t>choc politiq</w:t>
      </w:r>
      <w:r w:rsidR="00BD4821">
        <w:t>ue et économique</w:t>
      </w:r>
      <w:r w:rsidR="008A0B5A">
        <w:t xml:space="preserve"> (</w:t>
      </w:r>
      <w:r w:rsidR="00680B67">
        <w:t>politique monétaire des banques centrales</w:t>
      </w:r>
      <w:r w:rsidR="008A0B5A">
        <w:t>)</w:t>
      </w:r>
      <w:r w:rsidR="00BD4821">
        <w:t>. M</w:t>
      </w:r>
      <w:r w:rsidR="008A0B5A">
        <w:t>ais l</w:t>
      </w:r>
      <w:r w:rsidR="00680B67">
        <w:t>e pri</w:t>
      </w:r>
      <w:r w:rsidR="008A0B5A">
        <w:t xml:space="preserve">ncipal facteur de crise de 2008 est </w:t>
      </w:r>
      <w:r w:rsidR="00680B67">
        <w:t xml:space="preserve"> le surendettement. </w:t>
      </w:r>
      <w:r w:rsidR="008A0B5A">
        <w:t>La s</w:t>
      </w:r>
      <w:r w:rsidR="00680B67">
        <w:t>ituation au moment de la récess</w:t>
      </w:r>
      <w:r w:rsidR="008A0B5A">
        <w:t>ion en 2009 montre un endettement élevé  (</w:t>
      </w:r>
      <w:r w:rsidR="00680B67">
        <w:t>stock de dette publique</w:t>
      </w:r>
      <w:r w:rsidR="008A0B5A">
        <w:t> ; USA 71%, Japon</w:t>
      </w:r>
      <w:r w:rsidR="00680B67">
        <w:t xml:space="preserve"> 184%, France</w:t>
      </w:r>
      <w:r w:rsidR="001A577E">
        <w:t xml:space="preserve"> 78</w:t>
      </w:r>
      <w:r w:rsidR="00680B67">
        <w:t xml:space="preserve">%) </w:t>
      </w:r>
      <w:r w:rsidR="001A577E">
        <w:t>, endettem</w:t>
      </w:r>
      <w:r w:rsidR="008A0B5A">
        <w:t>ent des ménages ( 95% USA, Japon</w:t>
      </w:r>
      <w:r w:rsidR="001A577E">
        <w:t xml:space="preserve"> 65%, France 52%). Le désendettement dans la suite de la crise devient le moteur de la contraction (Irving Fisher déflation par la dette). </w:t>
      </w:r>
    </w:p>
    <w:p w14:paraId="612D9FB4" w14:textId="77777777" w:rsidR="001A577E" w:rsidRDefault="001A577E" w:rsidP="001A577E"/>
    <w:p w14:paraId="20F7F4DE" w14:textId="6852B5B3" w:rsidR="00AC1DFD" w:rsidRPr="00AC1DFD" w:rsidRDefault="001A577E" w:rsidP="001A577E">
      <w:pPr>
        <w:rPr>
          <w:b/>
          <w:u w:val="single"/>
        </w:rPr>
      </w:pPr>
      <w:r w:rsidRPr="00AC1DFD">
        <w:rPr>
          <w:b/>
          <w:u w:val="single"/>
        </w:rPr>
        <w:t>Les origines du surendettement :</w:t>
      </w:r>
    </w:p>
    <w:p w14:paraId="7DC68A98" w14:textId="743C2F91" w:rsidR="001A577E" w:rsidRDefault="00B21D21" w:rsidP="00EE1373">
      <w:pPr>
        <w:jc w:val="both"/>
      </w:pPr>
      <w:r>
        <w:t xml:space="preserve">La </w:t>
      </w:r>
      <w:r w:rsidR="001A577E">
        <w:t xml:space="preserve"> surestimation des capacités de remboursements futurs (des agents économiques et des banquiers</w:t>
      </w:r>
      <w:r>
        <w:t>,</w:t>
      </w:r>
      <w:r w:rsidR="001A577E">
        <w:t xml:space="preserve"> subprimes américains)</w:t>
      </w:r>
      <w:r>
        <w:t xml:space="preserve"> est à l’origine</w:t>
      </w:r>
      <w:r w:rsidR="00EE1373">
        <w:t xml:space="preserve"> de la crise de 2008</w:t>
      </w:r>
      <w:r w:rsidR="001A577E">
        <w:t>.</w:t>
      </w:r>
    </w:p>
    <w:p w14:paraId="44BFE526" w14:textId="644A49C1" w:rsidR="001A577E" w:rsidRDefault="001A577E" w:rsidP="00B21D21">
      <w:pPr>
        <w:pStyle w:val="Paragraphedeliste"/>
        <w:ind w:left="0"/>
        <w:jc w:val="both"/>
      </w:pPr>
      <w:r>
        <w:t xml:space="preserve">Dans </w:t>
      </w:r>
      <w:r w:rsidR="008A6551">
        <w:t xml:space="preserve">le </w:t>
      </w:r>
      <w:r>
        <w:t>phénomène de surendettement</w:t>
      </w:r>
      <w:r w:rsidR="008A6551">
        <w:t xml:space="preserve">, il y a une </w:t>
      </w:r>
      <w:r>
        <w:t xml:space="preserve"> surévaluation de l’actif qui sert de rembours</w:t>
      </w:r>
      <w:r w:rsidR="00BD4821">
        <w:t>ement. L</w:t>
      </w:r>
      <w:r w:rsidR="008A6551">
        <w:t>’</w:t>
      </w:r>
      <w:r>
        <w:t>interaction entre les ba</w:t>
      </w:r>
      <w:r w:rsidR="008A6551">
        <w:t xml:space="preserve">nques, le </w:t>
      </w:r>
      <w:r>
        <w:t xml:space="preserve"> crédit bancaire et </w:t>
      </w:r>
      <w:r w:rsidR="008A6551">
        <w:t>le marc</w:t>
      </w:r>
      <w:r w:rsidR="00BD4821">
        <w:t>hé des actifs a engendré</w:t>
      </w:r>
      <w:r w:rsidR="008A6551">
        <w:t xml:space="preserve"> une </w:t>
      </w:r>
      <w:r>
        <w:t>instabilité. Sur le marché de l’immobilier</w:t>
      </w:r>
      <w:r w:rsidR="00661168">
        <w:t>,</w:t>
      </w:r>
      <w:r>
        <w:t xml:space="preserve"> les banques prennent comme garantie hypothécaire les biens immobiliers. </w:t>
      </w:r>
      <w:r w:rsidR="008A6551">
        <w:t>Or l</w:t>
      </w:r>
      <w:r>
        <w:t>’augmentation des prix de l’immobilier</w:t>
      </w:r>
      <w:r w:rsidR="008A6551">
        <w:t xml:space="preserve"> est illusoire</w:t>
      </w:r>
      <w:r>
        <w:t xml:space="preserve">. </w:t>
      </w:r>
      <w:r w:rsidR="008A6551">
        <w:t>Comme la v</w:t>
      </w:r>
      <w:r>
        <w:t>aleur du patrimoine augmente (</w:t>
      </w:r>
      <w:r w:rsidR="00B21D21">
        <w:t xml:space="preserve">le </w:t>
      </w:r>
      <w:r>
        <w:t>ratio pa</w:t>
      </w:r>
      <w:r w:rsidR="00B21D21">
        <w:t>trimoine des ménages sur revenu</w:t>
      </w:r>
      <w:r>
        <w:t xml:space="preserve"> augm</w:t>
      </w:r>
      <w:r w:rsidR="00B21D21">
        <w:t>ente</w:t>
      </w:r>
      <w:r w:rsidR="008A6551">
        <w:t>), c</w:t>
      </w:r>
      <w:r>
        <w:t>haque ménage se sent plus riche</w:t>
      </w:r>
      <w:r w:rsidR="008A6551">
        <w:t>.  M</w:t>
      </w:r>
      <w:r w:rsidR="00FE655E">
        <w:t xml:space="preserve">ais </w:t>
      </w:r>
      <w:r w:rsidR="008A6551">
        <w:t xml:space="preserve">il n’est </w:t>
      </w:r>
      <w:r w:rsidR="00FE655E">
        <w:t>pas p</w:t>
      </w:r>
      <w:r>
        <w:t>lus riche</w:t>
      </w:r>
      <w:r w:rsidR="00B21D21">
        <w:t>. C</w:t>
      </w:r>
      <w:r>
        <w:t>e qui a augmente</w:t>
      </w:r>
      <w:r w:rsidR="00B21D21">
        <w:t>,</w:t>
      </w:r>
      <w:r>
        <w:t xml:space="preserve"> c’est le prix du service du logement.</w:t>
      </w:r>
      <w:r w:rsidR="00FE655E">
        <w:t xml:space="preserve"> Comme les banques utilisent la valeur du logement comme un col</w:t>
      </w:r>
      <w:r w:rsidR="008A6551">
        <w:t>l</w:t>
      </w:r>
      <w:r w:rsidR="00FE655E">
        <w:t xml:space="preserve">atéral, </w:t>
      </w:r>
      <w:r w:rsidR="008A6551">
        <w:t xml:space="preserve">la </w:t>
      </w:r>
      <w:r w:rsidR="00FE655E">
        <w:t>hausse de prix de l’immobilier engendre</w:t>
      </w:r>
      <w:r w:rsidR="008A6551">
        <w:t xml:space="preserve"> un </w:t>
      </w:r>
      <w:r w:rsidR="00FE655E">
        <w:t xml:space="preserve"> phénomène de désépargne et de surendettement. </w:t>
      </w:r>
      <w:r w:rsidR="008A6551">
        <w:t>Le s</w:t>
      </w:r>
      <w:r w:rsidR="00FE655E">
        <w:t xml:space="preserve">ecteur privé </w:t>
      </w:r>
      <w:r w:rsidR="008A6551">
        <w:t>est alors surendetté. I</w:t>
      </w:r>
      <w:r w:rsidR="00FE655E">
        <w:t>l va falloir qu’il se désendette et donc qu’il épargne. Pour les entreprises se désendetter, cela signifie, réduire l’investissement et réduire les coûts</w:t>
      </w:r>
      <w:r w:rsidR="008A6551">
        <w:t>,</w:t>
      </w:r>
      <w:r w:rsidR="00FE655E">
        <w:t xml:space="preserve"> ce </w:t>
      </w:r>
      <w:r w:rsidR="00FE655E">
        <w:lastRenderedPageBreak/>
        <w:t>qui entraîne une diminution de la demande (spirale de la déflation décrite par I Fisher). Ce surendettement se traduit</w:t>
      </w:r>
      <w:r w:rsidR="008A6551">
        <w:t xml:space="preserve"> également </w:t>
      </w:r>
      <w:r w:rsidR="00FE655E">
        <w:t xml:space="preserve"> par une fragilité des banques. Dans les économies développées contemporaines, le rôle des banques n’a pas diminué (intermédiation de marché). Leur rôle s’est accrue (privatisation massive, </w:t>
      </w:r>
      <w:r w:rsidR="00B21D21">
        <w:t xml:space="preserve">les </w:t>
      </w:r>
      <w:r w:rsidR="00FE655E">
        <w:t xml:space="preserve">banques ont développé massivement les crédits pour les transactions financières, prêts d’argent aux gestionnaires de fond). </w:t>
      </w:r>
    </w:p>
    <w:p w14:paraId="10C6CD6E" w14:textId="1A742431" w:rsidR="00FE655E" w:rsidRDefault="00B21D21" w:rsidP="00B21D21">
      <w:pPr>
        <w:jc w:val="both"/>
      </w:pPr>
      <w:r>
        <w:t>En Europe</w:t>
      </w:r>
      <w:r w:rsidR="00FE655E">
        <w:t>, les banque</w:t>
      </w:r>
      <w:r>
        <w:t>s ont gardé les actifs toxiques. O</w:t>
      </w:r>
      <w:r w:rsidR="00FE655E">
        <w:t>n a</w:t>
      </w:r>
      <w:r>
        <w:t xml:space="preserve"> facilité l’accès aux crédits (</w:t>
      </w:r>
      <w:r w:rsidR="00FE655E">
        <w:t>assouplissement des conditions de prêts)</w:t>
      </w:r>
      <w:r w:rsidR="009B1FA6">
        <w:t>. Alors qu’aux USA, on a utilisé la chirurgie lourde en sortant du bi</w:t>
      </w:r>
      <w:r>
        <w:t>lan tous les actifs douteux et on a mis en place</w:t>
      </w:r>
      <w:r w:rsidR="009B1FA6">
        <w:t xml:space="preserve"> une politique monétaire avec des taux d’intérêt très bas.  En Europe, </w:t>
      </w:r>
      <w:r>
        <w:t xml:space="preserve">on a été plus attentiste. </w:t>
      </w:r>
      <w:r w:rsidR="001B4016">
        <w:t xml:space="preserve"> </w:t>
      </w:r>
      <w:r>
        <w:t>O</w:t>
      </w:r>
      <w:r w:rsidR="001B4016">
        <w:t xml:space="preserve">n </w:t>
      </w:r>
      <w:r w:rsidR="00661168">
        <w:t>n’</w:t>
      </w:r>
      <w:r w:rsidR="009B1FA6">
        <w:t>a pas purgé massivement le bilan des banques et on a refusé de mener la politique monétaire accom</w:t>
      </w:r>
      <w:r w:rsidR="00557E32">
        <w:t>m</w:t>
      </w:r>
      <w:r w:rsidR="009B1FA6">
        <w:t>odante que l’on a</w:t>
      </w:r>
      <w:r w:rsidR="003318A6">
        <w:t xml:space="preserve"> </w:t>
      </w:r>
      <w:r>
        <w:t>mené</w:t>
      </w:r>
      <w:r w:rsidR="00661168">
        <w:t>e</w:t>
      </w:r>
      <w:r>
        <w:t xml:space="preserve"> aux USA.</w:t>
      </w:r>
      <w:r w:rsidR="009B1FA6">
        <w:t xml:space="preserve"> </w:t>
      </w:r>
      <w:r>
        <w:t>La s</w:t>
      </w:r>
      <w:r w:rsidR="009B1FA6">
        <w:t>ituation des banques en Europe est moins assainie.</w:t>
      </w:r>
    </w:p>
    <w:p w14:paraId="35C3BAA5" w14:textId="792A043B" w:rsidR="009B1FA6" w:rsidRDefault="009B1FA6" w:rsidP="00B21D21">
      <w:pPr>
        <w:jc w:val="both"/>
      </w:pPr>
      <w:r>
        <w:t>Lorsque la valeur de l’actif diminue du fait de la baisse des cours boursier, l’agent économique qui auparavant était dans une situation raisonnable se retrouve de ce fait endetté. Un endettement qui pouvait paraître soutenable avant la crise ne l’est plus après la crise (effet de bilan). Dans la théorie macroéconomique standard</w:t>
      </w:r>
      <w:r w:rsidR="00454DD3">
        <w:t>, le</w:t>
      </w:r>
      <w:r>
        <w:t xml:space="preserve">  problème, </w:t>
      </w:r>
      <w:r w:rsidR="00454DD3">
        <w:t>est qu’</w:t>
      </w:r>
      <w:r>
        <w:t xml:space="preserve">il n’ y a pas de bilan. Dans la théorie macroéconomique, </w:t>
      </w:r>
      <w:r w:rsidR="00454DD3">
        <w:t>on fait l’</w:t>
      </w:r>
      <w:r>
        <w:t>hypo</w:t>
      </w:r>
      <w:r w:rsidR="00454DD3">
        <w:t>thèse de l’agent représentatif (</w:t>
      </w:r>
      <w:r>
        <w:t>c’est – à dire non endetté</w:t>
      </w:r>
      <w:r w:rsidR="00454DD3">
        <w:t>)</w:t>
      </w:r>
      <w:r>
        <w:t>. Il n’ y a pas de flu</w:t>
      </w:r>
      <w:r w:rsidR="00454DD3">
        <w:t>x financiers bruts. La m</w:t>
      </w:r>
      <w:r>
        <w:t xml:space="preserve">acroéconomie </w:t>
      </w:r>
      <w:r w:rsidR="00454DD3">
        <w:t xml:space="preserve">est </w:t>
      </w:r>
      <w:r>
        <w:t>fondée sur l’hyp</w:t>
      </w:r>
      <w:r w:rsidR="00C73655">
        <w:t xml:space="preserve">othèse de l’agent représentatif, elle ne prend pas en compte les phénomènes monétaires. </w:t>
      </w:r>
    </w:p>
    <w:p w14:paraId="30DC22EF" w14:textId="77777777" w:rsidR="00FB2AB7" w:rsidRDefault="00FB2AB7" w:rsidP="009B1FA6">
      <w:pPr>
        <w:pStyle w:val="Paragraphedeliste"/>
        <w:jc w:val="both"/>
      </w:pPr>
    </w:p>
    <w:p w14:paraId="0835003F" w14:textId="77777777" w:rsidR="001D5113" w:rsidRPr="00021BC7" w:rsidRDefault="00FB2AB7" w:rsidP="00C73655">
      <w:pPr>
        <w:jc w:val="both"/>
        <w:rPr>
          <w:b/>
          <w:u w:val="single"/>
        </w:rPr>
      </w:pPr>
      <w:r w:rsidRPr="00021BC7">
        <w:rPr>
          <w:b/>
          <w:u w:val="single"/>
        </w:rPr>
        <w:t>Questions / Réponses:</w:t>
      </w:r>
    </w:p>
    <w:p w14:paraId="640D4F40" w14:textId="77777777" w:rsidR="000E6B09" w:rsidRPr="00021BC7" w:rsidRDefault="00C73655" w:rsidP="00C73655">
      <w:pPr>
        <w:jc w:val="both"/>
        <w:rPr>
          <w:i/>
        </w:rPr>
      </w:pPr>
      <w:r w:rsidRPr="00021BC7">
        <w:rPr>
          <w:i/>
        </w:rPr>
        <w:t xml:space="preserve">La mesure de l’inflation ; Que doit viser la Banque centrale ? </w:t>
      </w:r>
    </w:p>
    <w:p w14:paraId="7457270F" w14:textId="68358FCA" w:rsidR="00C73655" w:rsidRDefault="00C73655" w:rsidP="00C73655">
      <w:pPr>
        <w:jc w:val="both"/>
      </w:pPr>
      <w:r>
        <w:t xml:space="preserve">La banque centrale n’est pas en mesure de distinguer ce qui relève d’une augmentation justifiée d’une bulle spéculative. La banque centrale a un problème pour identifier la nature des mouvements. Quand son rôle se cantonne à assurer la stabilité des prix à la consommation,  assurer la stabilité du pouvoir d’achat de la monnaie, elle a une légitimité. Alors que si elle cherche à modérer </w:t>
      </w:r>
      <w:r w:rsidR="001B4016">
        <w:t xml:space="preserve">la </w:t>
      </w:r>
      <w:r>
        <w:t>hausse des prix des actifs immobil</w:t>
      </w:r>
      <w:r w:rsidR="001B4016">
        <w:t>iers ou des valeurs mobilières, son action est considérée comme illégitime</w:t>
      </w:r>
      <w:r>
        <w:t xml:space="preserve">. </w:t>
      </w:r>
      <w:r w:rsidR="00FB2AB7">
        <w:t xml:space="preserve">La gestion macroéconomique des économies financières </w:t>
      </w:r>
      <w:r w:rsidR="001B4016">
        <w:t xml:space="preserve">est </w:t>
      </w:r>
      <w:r w:rsidR="00FB2AB7">
        <w:t>difficile.</w:t>
      </w:r>
    </w:p>
    <w:p w14:paraId="4E8250CD" w14:textId="77777777" w:rsidR="00FB2AB7" w:rsidRDefault="00FB2AB7" w:rsidP="00C73655">
      <w:pPr>
        <w:jc w:val="both"/>
      </w:pPr>
    </w:p>
    <w:p w14:paraId="7862A71B" w14:textId="2386094D" w:rsidR="00FB2AB7" w:rsidRPr="00021BC7" w:rsidRDefault="00FB2AB7" w:rsidP="00C73655">
      <w:pPr>
        <w:jc w:val="both"/>
        <w:rPr>
          <w:i/>
        </w:rPr>
      </w:pPr>
      <w:r w:rsidRPr="00021BC7">
        <w:rPr>
          <w:i/>
        </w:rPr>
        <w:t>La gestion du taux de</w:t>
      </w:r>
      <w:r w:rsidR="00021BC7">
        <w:rPr>
          <w:i/>
        </w:rPr>
        <w:t xml:space="preserve"> change dans la crise.</w:t>
      </w:r>
    </w:p>
    <w:p w14:paraId="7BB1A074" w14:textId="6076CFB1" w:rsidR="00FB2AB7" w:rsidRDefault="001B4016" w:rsidP="00C73655">
      <w:pPr>
        <w:jc w:val="both"/>
      </w:pPr>
      <w:r>
        <w:t>Une d</w:t>
      </w:r>
      <w:r w:rsidR="00FB2AB7">
        <w:t>épréciatio</w:t>
      </w:r>
      <w:r>
        <w:t xml:space="preserve">n de l’euro risque d’aggraver la situation </w:t>
      </w:r>
      <w:r w:rsidR="00FB2AB7">
        <w:t xml:space="preserve"> de l’économie américaine. </w:t>
      </w:r>
      <w:r>
        <w:t>La d</w:t>
      </w:r>
      <w:r w:rsidR="00FB2AB7">
        <w:t xml:space="preserve">ifficulté de la zone euro </w:t>
      </w:r>
      <w:r>
        <w:t xml:space="preserve">est de mener une politique de change et de respecter le </w:t>
      </w:r>
      <w:r w:rsidR="00FB2AB7">
        <w:t>statut de la banque centrale</w:t>
      </w:r>
      <w:r>
        <w:t>. La</w:t>
      </w:r>
      <w:r w:rsidR="00FB2AB7">
        <w:t xml:space="preserve"> politique de change </w:t>
      </w:r>
      <w:r>
        <w:t xml:space="preserve">est une </w:t>
      </w:r>
      <w:r w:rsidR="00FB2AB7">
        <w:t>compétence du conse</w:t>
      </w:r>
      <w:r>
        <w:t>il des ministres européen</w:t>
      </w:r>
      <w:r w:rsidR="00FB2AB7">
        <w:t xml:space="preserve">  au départ</w:t>
      </w:r>
      <w:r>
        <w:t>,</w:t>
      </w:r>
      <w:r w:rsidR="00FB2AB7">
        <w:t xml:space="preserve"> mais le conseil a refusé de se saisir de cette compétence car </w:t>
      </w:r>
      <w:r>
        <w:t xml:space="preserve">il y a des </w:t>
      </w:r>
      <w:r w:rsidR="00FB2AB7">
        <w:t>divergences entre les membres de la zone euro trop importante</w:t>
      </w:r>
      <w:r>
        <w:t>s</w:t>
      </w:r>
      <w:r w:rsidR="00FB2AB7">
        <w:t xml:space="preserve">. L’objectif de monnaie forte  (cours de change élevé) </w:t>
      </w:r>
      <w:r>
        <w:t xml:space="preserve">est d’avoir un </w:t>
      </w:r>
      <w:r w:rsidR="00FB2AB7">
        <w:t xml:space="preserve">pouvoir d’achat extérieur élevé ; </w:t>
      </w:r>
      <w:r>
        <w:t>l’</w:t>
      </w:r>
      <w:r w:rsidR="00FB2AB7">
        <w:t>appréciation de l’euro permet d’amoindrir les augmentations du prix du pétrole.</w:t>
      </w:r>
    </w:p>
    <w:p w14:paraId="686586D6" w14:textId="77777777" w:rsidR="00FB2AB7" w:rsidRDefault="00FB2AB7" w:rsidP="00C73655">
      <w:pPr>
        <w:jc w:val="both"/>
      </w:pPr>
    </w:p>
    <w:p w14:paraId="19F2B3F5" w14:textId="77777777" w:rsidR="00FB2AB7" w:rsidRPr="00021BC7" w:rsidRDefault="00FB2AB7" w:rsidP="00C73655">
      <w:pPr>
        <w:jc w:val="both"/>
        <w:rPr>
          <w:i/>
        </w:rPr>
      </w:pPr>
      <w:r w:rsidRPr="00021BC7">
        <w:rPr>
          <w:i/>
        </w:rPr>
        <w:t>Pourquoi une telle différence dans la gestion de la crise par les banques centrales   entre les USA et Europe</w:t>
      </w:r>
      <w:r w:rsidR="00CB6821" w:rsidRPr="00021BC7">
        <w:rPr>
          <w:i/>
        </w:rPr>
        <w:t> ?</w:t>
      </w:r>
    </w:p>
    <w:p w14:paraId="0EEE8D48" w14:textId="4E999E15" w:rsidR="00FB2AB7" w:rsidRDefault="001B4016" w:rsidP="00C73655">
      <w:pPr>
        <w:jc w:val="both"/>
      </w:pPr>
      <w:r>
        <w:t>La Banque centrale américaine poursuit un</w:t>
      </w:r>
      <w:r w:rsidR="00FB2AB7">
        <w:t xml:space="preserve"> objectif</w:t>
      </w:r>
      <w:r>
        <w:t xml:space="preserve"> de</w:t>
      </w:r>
      <w:r w:rsidR="00FB2AB7">
        <w:t xml:space="preserve"> plein emploi et </w:t>
      </w:r>
      <w:r>
        <w:t xml:space="preserve">de </w:t>
      </w:r>
      <w:r w:rsidR="00FB2AB7">
        <w:t>croissance</w:t>
      </w:r>
      <w:r>
        <w:t>.</w:t>
      </w:r>
      <w:r w:rsidR="00FB2AB7">
        <w:t xml:space="preserve"> </w:t>
      </w:r>
      <w:r>
        <w:t xml:space="preserve">C’est le </w:t>
      </w:r>
      <w:r w:rsidR="00FB2AB7">
        <w:t>mandat donné</w:t>
      </w:r>
      <w:r w:rsidR="00CB6821">
        <w:t xml:space="preserve"> par le congrès américain.</w:t>
      </w:r>
    </w:p>
    <w:p w14:paraId="70AEBD5F" w14:textId="5DC31B49" w:rsidR="00FB2AB7" w:rsidRDefault="001B4016" w:rsidP="00C73655">
      <w:pPr>
        <w:jc w:val="both"/>
      </w:pPr>
      <w:r>
        <w:t xml:space="preserve">La Banque centrale Européenne a un </w:t>
      </w:r>
      <w:r w:rsidR="00FB2AB7">
        <w:t xml:space="preserve">objectif </w:t>
      </w:r>
      <w:r>
        <w:t xml:space="preserve">de </w:t>
      </w:r>
      <w:r w:rsidR="00FB2AB7">
        <w:t>st</w:t>
      </w:r>
      <w:r w:rsidR="00CB6821">
        <w:t>abilité monétaire</w:t>
      </w:r>
      <w:r>
        <w:t>. Elle n’</w:t>
      </w:r>
      <w:r w:rsidR="00CB6821">
        <w:t>a pa</w:t>
      </w:r>
      <w:r>
        <w:t xml:space="preserve">s besoin de justifier ses choix. Elle a une </w:t>
      </w:r>
      <w:r w:rsidR="00CB6821">
        <w:t xml:space="preserve"> véritable indépendance à l’égard du pouvoir politique.</w:t>
      </w:r>
    </w:p>
    <w:p w14:paraId="7D76C63A" w14:textId="7421C55A" w:rsidR="00CB6821" w:rsidRDefault="00661168" w:rsidP="00C73655">
      <w:pPr>
        <w:jc w:val="both"/>
      </w:pPr>
      <w:r>
        <w:t>A</w:t>
      </w:r>
      <w:r w:rsidR="001B4016">
        <w:t xml:space="preserve">ux USA, le </w:t>
      </w:r>
      <w:r w:rsidR="00CB6821">
        <w:t>congrè</w:t>
      </w:r>
      <w:r w:rsidR="00FB2AB7">
        <w:t xml:space="preserve">s </w:t>
      </w:r>
      <w:r w:rsidR="001B4016">
        <w:t xml:space="preserve">américain </w:t>
      </w:r>
      <w:r w:rsidR="00FB2AB7">
        <w:t xml:space="preserve">a le pouvoir de demander au gouverneur </w:t>
      </w:r>
      <w:r w:rsidR="001B4016">
        <w:t>de la FED</w:t>
      </w:r>
      <w:r w:rsidR="00FB2AB7">
        <w:t xml:space="preserve"> de rendre de</w:t>
      </w:r>
      <w:r w:rsidR="001B4016">
        <w:t>s comptes.  L</w:t>
      </w:r>
      <w:r w:rsidR="00FB2AB7">
        <w:t>e Sénat</w:t>
      </w:r>
      <w:r w:rsidR="001B4016">
        <w:t xml:space="preserve"> américain </w:t>
      </w:r>
      <w:r w:rsidR="00FB2AB7">
        <w:t xml:space="preserve"> a le pouvoir de modifier le statut et le </w:t>
      </w:r>
      <w:r w:rsidR="00FB2AB7">
        <w:lastRenderedPageBreak/>
        <w:t>mandat </w:t>
      </w:r>
      <w:r w:rsidR="001B4016">
        <w:t>de la FED</w:t>
      </w:r>
      <w:r w:rsidR="00AD1D76">
        <w:t>,</w:t>
      </w:r>
      <w:r w:rsidR="00FB2AB7">
        <w:t xml:space="preserve"> alors qu’en Europe, il n’ y a aucune obligation.</w:t>
      </w:r>
      <w:r w:rsidR="00AD1D76">
        <w:t xml:space="preserve"> Cette d</w:t>
      </w:r>
      <w:r w:rsidR="00CB6821">
        <w:t xml:space="preserve">ifférence </w:t>
      </w:r>
      <w:r w:rsidR="00AD1D76">
        <w:t xml:space="preserve">est </w:t>
      </w:r>
      <w:r w:rsidR="00CB6821">
        <w:t>fondamentale dans la gouvernance des institutions.</w:t>
      </w:r>
    </w:p>
    <w:p w14:paraId="4E9D03EE" w14:textId="77777777" w:rsidR="00661168" w:rsidRDefault="00661168" w:rsidP="00C73655">
      <w:pPr>
        <w:jc w:val="both"/>
      </w:pPr>
    </w:p>
    <w:p w14:paraId="509F8F16" w14:textId="50F1D202" w:rsidR="00CB6821" w:rsidRPr="008C39B7" w:rsidRDefault="008C39B7" w:rsidP="00C73655">
      <w:pPr>
        <w:jc w:val="both"/>
        <w:rPr>
          <w:b/>
          <w:u w:val="single"/>
        </w:rPr>
      </w:pPr>
      <w:r w:rsidRPr="008C39B7">
        <w:rPr>
          <w:b/>
          <w:u w:val="single"/>
        </w:rPr>
        <w:t>On observe une hétérogénéité dans l</w:t>
      </w:r>
      <w:r w:rsidR="003B73B1" w:rsidRPr="008C39B7">
        <w:rPr>
          <w:b/>
          <w:u w:val="single"/>
        </w:rPr>
        <w:t>es politiques de relance menées dans les d</w:t>
      </w:r>
      <w:r w:rsidRPr="008C39B7">
        <w:rPr>
          <w:b/>
          <w:u w:val="single"/>
        </w:rPr>
        <w:t xml:space="preserve">ifférents pays de la zone euro. </w:t>
      </w:r>
    </w:p>
    <w:p w14:paraId="2392D053" w14:textId="1FF87B0D" w:rsidR="003B73B1" w:rsidRDefault="003B73B1" w:rsidP="00C73655">
      <w:pPr>
        <w:jc w:val="both"/>
      </w:pPr>
      <w:r>
        <w:t xml:space="preserve">Zone monétaire optimale de Mundell : </w:t>
      </w:r>
      <w:r w:rsidR="008C39B7">
        <w:t xml:space="preserve">le </w:t>
      </w:r>
      <w:r>
        <w:t xml:space="preserve">Traité </w:t>
      </w:r>
      <w:r w:rsidR="008C39B7">
        <w:t xml:space="preserve">de </w:t>
      </w:r>
      <w:r>
        <w:t>Maast</w:t>
      </w:r>
      <w:r w:rsidR="008C39B7">
        <w:t xml:space="preserve">richt est le résultat de cette vision. La </w:t>
      </w:r>
      <w:r>
        <w:t xml:space="preserve"> politique monétaire va gérer les chocs communs</w:t>
      </w:r>
      <w:r w:rsidR="008C39B7">
        <w:t>. S</w:t>
      </w:r>
      <w:r>
        <w:t xml:space="preserve">i </w:t>
      </w:r>
      <w:r w:rsidR="008C39B7">
        <w:t xml:space="preserve">les </w:t>
      </w:r>
      <w:r>
        <w:t xml:space="preserve">chocs </w:t>
      </w:r>
      <w:r w:rsidR="008C39B7">
        <w:t xml:space="preserve">sont </w:t>
      </w:r>
      <w:r>
        <w:t>asymétriques, ils se résorberont tous seuls</w:t>
      </w:r>
      <w:r w:rsidR="00661168">
        <w:t xml:space="preserve">. </w:t>
      </w:r>
      <w:r w:rsidR="008C39B7">
        <w:t>L’i</w:t>
      </w:r>
      <w:r>
        <w:t xml:space="preserve">dée </w:t>
      </w:r>
      <w:r w:rsidR="008C39B7">
        <w:t xml:space="preserve">est </w:t>
      </w:r>
      <w:r>
        <w:t xml:space="preserve">que les divergences sont dues à des chocs asymétriques. </w:t>
      </w:r>
      <w:r w:rsidR="008C39B7">
        <w:t xml:space="preserve"> Or c</w:t>
      </w:r>
      <w:r>
        <w:t>e qui a crée la crise</w:t>
      </w:r>
      <w:r w:rsidR="008C39B7">
        <w:t>,</w:t>
      </w:r>
      <w:r>
        <w:t xml:space="preserve"> ce n’est pas un choc asymétrique mais un choc commun.</w:t>
      </w:r>
    </w:p>
    <w:p w14:paraId="524EC60F" w14:textId="37F2BBBB" w:rsidR="003B73B1" w:rsidRDefault="008C39B7" w:rsidP="00C73655">
      <w:pPr>
        <w:jc w:val="both"/>
      </w:pPr>
      <w:r>
        <w:t>L’h</w:t>
      </w:r>
      <w:r w:rsidR="003B73B1">
        <w:t>étérogénéité structurelle dans la zone euro résulte du fait qu’elle a été gérée par des politiques nationales divergentes pour gérer les chocs asymétriques et une politique monétaire commune pour gérer les chocs communs.</w:t>
      </w:r>
    </w:p>
    <w:p w14:paraId="33111959" w14:textId="77777777" w:rsidR="00633677" w:rsidRDefault="00633677" w:rsidP="00C73655">
      <w:pPr>
        <w:jc w:val="both"/>
      </w:pPr>
    </w:p>
    <w:p w14:paraId="32063463" w14:textId="77777777" w:rsidR="00633677" w:rsidRPr="00633677" w:rsidRDefault="00633677" w:rsidP="00C73655">
      <w:pPr>
        <w:jc w:val="both"/>
        <w:rPr>
          <w:b/>
        </w:rPr>
      </w:pPr>
      <w:r w:rsidRPr="00633677">
        <w:rPr>
          <w:b/>
        </w:rPr>
        <w:t>Les facteurs d’hétérogénéité de la zone euro :</w:t>
      </w:r>
    </w:p>
    <w:p w14:paraId="331497A0" w14:textId="128FE9B1" w:rsidR="003B73B1" w:rsidRDefault="008C39B7" w:rsidP="00C73655">
      <w:pPr>
        <w:jc w:val="both"/>
      </w:pPr>
      <w:r>
        <w:t>On distingue deux</w:t>
      </w:r>
      <w:r w:rsidR="003B73B1">
        <w:t xml:space="preserve"> groupes de pays dans la zone euro</w:t>
      </w:r>
      <w:r w:rsidR="00633677">
        <w:t xml:space="preserve"> dans les 10 premières années de l’euro</w:t>
      </w:r>
      <w:r>
        <w:t>. Cette hétérogénéité se manifeste au niveau des taux d’intérêt, des soldes de la balance des paiements et des écarts en terme de coûts salariaux.</w:t>
      </w:r>
    </w:p>
    <w:p w14:paraId="3809B0EA" w14:textId="54830F0D" w:rsidR="00633677" w:rsidRPr="00633677" w:rsidRDefault="00633677" w:rsidP="00C73655">
      <w:pPr>
        <w:jc w:val="both"/>
        <w:rPr>
          <w:b/>
        </w:rPr>
      </w:pPr>
      <w:r>
        <w:rPr>
          <w:b/>
        </w:rPr>
        <w:t>D</w:t>
      </w:r>
      <w:r w:rsidRPr="00633677">
        <w:rPr>
          <w:b/>
        </w:rPr>
        <w:t>ivergence de taux d’intérêts réels </w:t>
      </w:r>
      <w:r w:rsidR="00CE4E6A">
        <w:rPr>
          <w:b/>
        </w:rPr>
        <w:t xml:space="preserve">dans les 10 premières années de la zone euro </w:t>
      </w:r>
      <w:r w:rsidRPr="00633677">
        <w:rPr>
          <w:b/>
        </w:rPr>
        <w:t>:</w:t>
      </w:r>
    </w:p>
    <w:p w14:paraId="66D4C80A" w14:textId="77777777" w:rsidR="003B73B1" w:rsidRDefault="003B73B1" w:rsidP="00C73655">
      <w:pPr>
        <w:jc w:val="both"/>
      </w:pPr>
      <w:r>
        <w:t xml:space="preserve">All, France, Finlande, Autriche, taux d’intérêt réels élevés. </w:t>
      </w:r>
    </w:p>
    <w:p w14:paraId="0C0B08F8" w14:textId="77777777" w:rsidR="003B73B1" w:rsidRDefault="003B73B1" w:rsidP="00C73655">
      <w:pPr>
        <w:jc w:val="both"/>
      </w:pPr>
      <w:r>
        <w:t>Grèce, Portugal, Espagne ; Taux d’intérêt réels bas. Dans ces pays phénomènes de surendettement plus important que dans les autres.</w:t>
      </w:r>
    </w:p>
    <w:p w14:paraId="1E63C3B3" w14:textId="1DBC51DB" w:rsidR="00633677" w:rsidRDefault="00633677" w:rsidP="00C73655">
      <w:pPr>
        <w:jc w:val="both"/>
      </w:pPr>
      <w:r w:rsidRPr="00633677">
        <w:rPr>
          <w:b/>
        </w:rPr>
        <w:t>Divergence de Balance des paiements </w:t>
      </w:r>
      <w:r>
        <w:t>; soldes courants déficita</w:t>
      </w:r>
      <w:r w:rsidR="00021BC7">
        <w:t>ires : Grèce, Portugal (-9, 13)</w:t>
      </w:r>
      <w:r>
        <w:t>, Espagne (-6 points de PIB).</w:t>
      </w:r>
    </w:p>
    <w:p w14:paraId="745766F1" w14:textId="77777777" w:rsidR="00633677" w:rsidRDefault="00633677" w:rsidP="00C73655">
      <w:pPr>
        <w:jc w:val="both"/>
      </w:pPr>
      <w:r>
        <w:t xml:space="preserve">Soldes courants excédentaires : Allemagne, Belgique, </w:t>
      </w:r>
    </w:p>
    <w:p w14:paraId="58151F3D" w14:textId="77777777" w:rsidR="00633677" w:rsidRPr="00633677" w:rsidRDefault="00633677" w:rsidP="00C73655">
      <w:pPr>
        <w:jc w:val="both"/>
        <w:rPr>
          <w:b/>
        </w:rPr>
      </w:pPr>
      <w:r w:rsidRPr="00633677">
        <w:rPr>
          <w:b/>
        </w:rPr>
        <w:t>Les écarts en terme de coûts salariaux unitaires.</w:t>
      </w:r>
    </w:p>
    <w:p w14:paraId="3D5C5262" w14:textId="3672978D" w:rsidR="00633677" w:rsidRDefault="007C1D80" w:rsidP="00C73655">
      <w:pPr>
        <w:jc w:val="both"/>
      </w:pPr>
      <w:r>
        <w:t>Allemagne ; sa</w:t>
      </w:r>
      <w:r w:rsidR="00633677">
        <w:t xml:space="preserve"> politique menée dans les années 2000 a stabilisé les coûts de main d’œuvre unitaire.</w:t>
      </w:r>
    </w:p>
    <w:p w14:paraId="19D150AC" w14:textId="53819F4C" w:rsidR="00633677" w:rsidRDefault="007C1D80" w:rsidP="00C73655">
      <w:pPr>
        <w:jc w:val="both"/>
      </w:pPr>
      <w:r>
        <w:t>L’</w:t>
      </w:r>
      <w:r w:rsidR="00633677">
        <w:t xml:space="preserve">Espagne, </w:t>
      </w:r>
      <w:r>
        <w:t xml:space="preserve">la </w:t>
      </w:r>
      <w:r w:rsidR="00633677">
        <w:t xml:space="preserve">Grèce, </w:t>
      </w:r>
      <w:r>
        <w:t>l’Irlande, ont des</w:t>
      </w:r>
      <w:r w:rsidR="00633677">
        <w:t xml:space="preserve"> écarts élevés par rapport à la moyenne européenne.</w:t>
      </w:r>
    </w:p>
    <w:p w14:paraId="0E108C83" w14:textId="77777777" w:rsidR="00633677" w:rsidRDefault="00633677" w:rsidP="00C73655">
      <w:pPr>
        <w:jc w:val="both"/>
      </w:pPr>
    </w:p>
    <w:p w14:paraId="2BEB2FA5" w14:textId="77777777" w:rsidR="003C678D" w:rsidRPr="009B2800" w:rsidRDefault="003C678D" w:rsidP="00C73655">
      <w:pPr>
        <w:jc w:val="both"/>
        <w:rPr>
          <w:b/>
          <w:u w:val="single"/>
        </w:rPr>
      </w:pPr>
      <w:r w:rsidRPr="009B2800">
        <w:rPr>
          <w:b/>
          <w:u w:val="single"/>
        </w:rPr>
        <w:t>Les moyens mis en place pour lutter contre la crise.</w:t>
      </w:r>
    </w:p>
    <w:p w14:paraId="788F8D4D" w14:textId="77777777" w:rsidR="003C678D" w:rsidRDefault="003C678D" w:rsidP="00C73655">
      <w:pPr>
        <w:jc w:val="both"/>
        <w:rPr>
          <w:b/>
        </w:rPr>
      </w:pPr>
    </w:p>
    <w:p w14:paraId="362CC44D" w14:textId="288C0A4F" w:rsidR="003C678D" w:rsidRPr="00CE4E6A" w:rsidRDefault="003C678D" w:rsidP="00C73655">
      <w:pPr>
        <w:jc w:val="both"/>
      </w:pPr>
      <w:r w:rsidRPr="00CE4E6A">
        <w:t>Fonds de stabilisation et les act</w:t>
      </w:r>
      <w:r w:rsidR="00E47030">
        <w:t>ions de la BCE :</w:t>
      </w:r>
    </w:p>
    <w:p w14:paraId="6E73853A" w14:textId="77777777" w:rsidR="003C678D" w:rsidRDefault="003C678D" w:rsidP="00C73655">
      <w:pPr>
        <w:jc w:val="both"/>
      </w:pPr>
      <w:r>
        <w:t>750 milliards d’euros (FMI, Etats commission) ; consolidation dans le MES</w:t>
      </w:r>
    </w:p>
    <w:p w14:paraId="60CAF84E" w14:textId="211656EE" w:rsidR="003C678D" w:rsidRDefault="003C678D" w:rsidP="00C73655">
      <w:pPr>
        <w:jc w:val="both"/>
      </w:pPr>
      <w:r>
        <w:t xml:space="preserve">Interventions d’urgence : illiquidité ou attaques spéculatives mais pas une réelle solution aux problèmes de soutenabilité. </w:t>
      </w:r>
      <w:r w:rsidR="00E47030">
        <w:t>Les b</w:t>
      </w:r>
      <w:r>
        <w:t xml:space="preserve">anques ont joué leur rôle de prêteur en dernier ressort. </w:t>
      </w:r>
    </w:p>
    <w:p w14:paraId="7B91C01D" w14:textId="77777777" w:rsidR="003C678D" w:rsidRDefault="003C678D" w:rsidP="00C73655">
      <w:pPr>
        <w:jc w:val="both"/>
      </w:pPr>
      <w:r>
        <w:t>Achats de titres publics de la zone euro par la BCE ;</w:t>
      </w:r>
    </w:p>
    <w:p w14:paraId="21841FC8" w14:textId="77777777" w:rsidR="003C678D" w:rsidRDefault="003C678D" w:rsidP="00C73655">
      <w:pPr>
        <w:jc w:val="both"/>
      </w:pPr>
      <w:r>
        <w:t>Assouplissement des règles d’éligibilité ;</w:t>
      </w:r>
    </w:p>
    <w:p w14:paraId="50B043DC" w14:textId="7238CB35" w:rsidR="003C678D" w:rsidRPr="003C678D" w:rsidRDefault="003C678D" w:rsidP="00C73655">
      <w:pPr>
        <w:jc w:val="both"/>
      </w:pPr>
      <w:r>
        <w:t xml:space="preserve">Prêts massifs à trois ans aux banques : </w:t>
      </w:r>
      <w:r w:rsidR="00E47030">
        <w:t>Le p</w:t>
      </w:r>
      <w:r>
        <w:t xml:space="preserve">roblème </w:t>
      </w:r>
      <w:r w:rsidR="00E47030">
        <w:t xml:space="preserve">est </w:t>
      </w:r>
      <w:r>
        <w:t xml:space="preserve">celui de l’illiquidité du secteur bancaire qui n’est toujours pas réglé. </w:t>
      </w:r>
      <w:r w:rsidR="00E47030">
        <w:t>Le g</w:t>
      </w:r>
      <w:r>
        <w:t xml:space="preserve">rand problème </w:t>
      </w:r>
      <w:r w:rsidR="00E47030">
        <w:t>reste</w:t>
      </w:r>
      <w:r>
        <w:t xml:space="preserve"> celui de la confiance entre les banques</w:t>
      </w:r>
      <w:r w:rsidR="009B2800">
        <w:t>.</w:t>
      </w:r>
    </w:p>
    <w:p w14:paraId="15283C3F" w14:textId="77777777" w:rsidR="00633677" w:rsidRDefault="00633677" w:rsidP="00C73655">
      <w:pPr>
        <w:jc w:val="both"/>
      </w:pPr>
    </w:p>
    <w:p w14:paraId="5075108D" w14:textId="3C2CFD81" w:rsidR="009B2800" w:rsidRPr="009B2800" w:rsidRDefault="009B2800" w:rsidP="00C73655">
      <w:pPr>
        <w:jc w:val="both"/>
        <w:rPr>
          <w:b/>
          <w:u w:val="single"/>
        </w:rPr>
      </w:pPr>
      <w:bookmarkStart w:id="0" w:name="_GoBack"/>
      <w:bookmarkEnd w:id="0"/>
      <w:r w:rsidRPr="009B2800">
        <w:rPr>
          <w:b/>
          <w:u w:val="single"/>
        </w:rPr>
        <w:t xml:space="preserve">Les banques </w:t>
      </w:r>
      <w:r w:rsidR="007A45CB">
        <w:rPr>
          <w:b/>
          <w:u w:val="single"/>
        </w:rPr>
        <w:t xml:space="preserve">sont </w:t>
      </w:r>
      <w:r w:rsidRPr="009B2800">
        <w:rPr>
          <w:b/>
          <w:u w:val="single"/>
        </w:rPr>
        <w:t>au cœur du problème.</w:t>
      </w:r>
    </w:p>
    <w:p w14:paraId="3608D421" w14:textId="77777777" w:rsidR="009B2800" w:rsidRDefault="009B2800" w:rsidP="00C73655">
      <w:pPr>
        <w:jc w:val="both"/>
      </w:pPr>
    </w:p>
    <w:p w14:paraId="7FB5ADB6" w14:textId="77777777" w:rsidR="00421193" w:rsidRDefault="00421193" w:rsidP="00421193">
      <w:pPr>
        <w:pStyle w:val="Paragraphedeliste"/>
        <w:ind w:left="0"/>
        <w:jc w:val="both"/>
      </w:pPr>
      <w:r>
        <w:t>On observe des d</w:t>
      </w:r>
      <w:r w:rsidR="009B2800">
        <w:t xml:space="preserve">ésaccords sur la réglementation des banques, sur la taxation des banques et l’usage de recettes. On préconise aux USA </w:t>
      </w:r>
      <w:r>
        <w:t xml:space="preserve">une </w:t>
      </w:r>
      <w:r w:rsidR="009B2800">
        <w:t xml:space="preserve">séparation entre les banques de dépôts  et d’affaires mais en Europe </w:t>
      </w:r>
      <w:r w:rsidR="00276061">
        <w:t xml:space="preserve">il n’ y a </w:t>
      </w:r>
      <w:r w:rsidR="009B2800">
        <w:t xml:space="preserve">pas de réelle décision. </w:t>
      </w:r>
    </w:p>
    <w:p w14:paraId="0BBEC6D7" w14:textId="10A424DF" w:rsidR="009B2800" w:rsidRDefault="00276061" w:rsidP="00661168">
      <w:pPr>
        <w:jc w:val="both"/>
      </w:pPr>
      <w:r>
        <w:lastRenderedPageBreak/>
        <w:t xml:space="preserve">Il n ‘ y a pas non plus  </w:t>
      </w:r>
      <w:r w:rsidR="009B2800">
        <w:t>d’avancée en Europe sur la mise en place d</w:t>
      </w:r>
      <w:r>
        <w:t>e marchés organisés</w:t>
      </w:r>
      <w:r w:rsidR="00421193">
        <w:t>,</w:t>
      </w:r>
      <w:r>
        <w:t xml:space="preserve"> sur les CDS. O</w:t>
      </w:r>
      <w:r w:rsidR="009B2800">
        <w:t xml:space="preserve">r </w:t>
      </w:r>
      <w:r>
        <w:t xml:space="preserve">c’est </w:t>
      </w:r>
      <w:r w:rsidR="009B2800">
        <w:t xml:space="preserve">un des canaux systémiques de propagation des crises. </w:t>
      </w:r>
      <w:r>
        <w:t>Il n’</w:t>
      </w:r>
      <w:r w:rsidR="00421193">
        <w:t xml:space="preserve"> y a pas non plus</w:t>
      </w:r>
      <w:r w:rsidR="009B2800">
        <w:t xml:space="preserve"> de réelles mesures en Europe sur la transparence (lutte contre l’opacité  de la finance).</w:t>
      </w:r>
    </w:p>
    <w:p w14:paraId="30DED935" w14:textId="77777777" w:rsidR="009B2800" w:rsidRDefault="009B2800" w:rsidP="009B2800">
      <w:pPr>
        <w:jc w:val="both"/>
      </w:pPr>
    </w:p>
    <w:p w14:paraId="703F9B72" w14:textId="77777777" w:rsidR="009B2800" w:rsidRPr="009B2800" w:rsidRDefault="009B2800" w:rsidP="009B2800">
      <w:pPr>
        <w:jc w:val="both"/>
        <w:rPr>
          <w:b/>
          <w:u w:val="single"/>
        </w:rPr>
      </w:pPr>
      <w:r w:rsidRPr="009B2800">
        <w:rPr>
          <w:b/>
          <w:u w:val="single"/>
        </w:rPr>
        <w:t>Rigueur budgétaire.</w:t>
      </w:r>
    </w:p>
    <w:p w14:paraId="533B5268" w14:textId="77777777" w:rsidR="009B2800" w:rsidRDefault="009B2800" w:rsidP="009B2800">
      <w:pPr>
        <w:jc w:val="both"/>
        <w:rPr>
          <w:b/>
        </w:rPr>
      </w:pPr>
    </w:p>
    <w:p w14:paraId="61609706" w14:textId="77777777" w:rsidR="009B2800" w:rsidRDefault="004D322D" w:rsidP="009B2800">
      <w:pPr>
        <w:jc w:val="both"/>
      </w:pPr>
      <w:r>
        <w:t>Si tous les pays font de la contraction européenne en même temps (multiplicateur keynésien supérieur à 1) on ne parvient pas à réduire déficit (effets récessifs).</w:t>
      </w:r>
    </w:p>
    <w:p w14:paraId="5EFB0C0D" w14:textId="7166B4D7" w:rsidR="004D322D" w:rsidRDefault="00421193" w:rsidP="009B2800">
      <w:pPr>
        <w:jc w:val="both"/>
      </w:pPr>
      <w:r>
        <w:t>La s</w:t>
      </w:r>
      <w:r w:rsidR="004D322D">
        <w:t>eul</w:t>
      </w:r>
      <w:r>
        <w:t>e</w:t>
      </w:r>
      <w:r w:rsidR="004D322D">
        <w:t xml:space="preserve"> période où les critères du traité de Maastricht sont respectés </w:t>
      </w:r>
      <w:r>
        <w:t xml:space="preserve">est </w:t>
      </w:r>
      <w:r w:rsidR="004D322D">
        <w:t xml:space="preserve">au début mais dés 2002 avec </w:t>
      </w:r>
      <w:r>
        <w:t xml:space="preserve">la </w:t>
      </w:r>
      <w:r w:rsidR="00C654A5">
        <w:t>récession beaucoup</w:t>
      </w:r>
      <w:r w:rsidR="004D322D">
        <w:t xml:space="preserve"> de pays </w:t>
      </w:r>
      <w:r w:rsidR="00C654A5">
        <w:t>n’</w:t>
      </w:r>
      <w:r w:rsidR="004D322D">
        <w:t xml:space="preserve">ont </w:t>
      </w:r>
      <w:r w:rsidR="00C654A5">
        <w:t xml:space="preserve">pas </w:t>
      </w:r>
      <w:r w:rsidR="004D322D">
        <w:t xml:space="preserve">respecté les critères du traité. On constate des divergences dans la structure des plans de relance en 2009. </w:t>
      </w:r>
    </w:p>
    <w:p w14:paraId="600A3AEB" w14:textId="77777777" w:rsidR="009B2800" w:rsidRDefault="009B2800" w:rsidP="009B2800">
      <w:pPr>
        <w:jc w:val="both"/>
      </w:pPr>
    </w:p>
    <w:p w14:paraId="03832E4E" w14:textId="77777777" w:rsidR="009B2800" w:rsidRPr="004D322D" w:rsidRDefault="004D322D" w:rsidP="004D322D">
      <w:pPr>
        <w:jc w:val="both"/>
        <w:rPr>
          <w:b/>
        </w:rPr>
      </w:pPr>
      <w:r w:rsidRPr="004D322D">
        <w:rPr>
          <w:b/>
        </w:rPr>
        <w:t>Que fait – on pour se prémunir de l’endettement excessif ?</w:t>
      </w:r>
    </w:p>
    <w:p w14:paraId="7CC94816" w14:textId="053FC3D4" w:rsidR="004D322D" w:rsidRDefault="00421193" w:rsidP="004D322D">
      <w:pPr>
        <w:jc w:val="both"/>
      </w:pPr>
      <w:r>
        <w:t>L’e</w:t>
      </w:r>
      <w:r w:rsidR="004D322D">
        <w:t xml:space="preserve">ndettement public excessif </w:t>
      </w:r>
      <w:r>
        <w:t xml:space="preserve">est une </w:t>
      </w:r>
      <w:r w:rsidR="004D322D">
        <w:t xml:space="preserve">conséquence de la socialisation de la dette privée, des relances des politiques budgétaires et des plans de sauvetage des banques. </w:t>
      </w:r>
    </w:p>
    <w:p w14:paraId="50DF79AA" w14:textId="52457C86" w:rsidR="00D15427" w:rsidRDefault="004D322D" w:rsidP="004D322D">
      <w:pPr>
        <w:jc w:val="both"/>
      </w:pPr>
      <w:r>
        <w:t>Pour réduire l’endettement </w:t>
      </w:r>
      <w:r w:rsidR="00D15427">
        <w:t>deux pistes</w:t>
      </w:r>
      <w:r w:rsidR="00421193">
        <w:t> :</w:t>
      </w:r>
      <w:r w:rsidR="00D15427">
        <w:t xml:space="preserve"> inflation et croissance</w:t>
      </w:r>
      <w:r w:rsidR="00421193">
        <w:t>.</w:t>
      </w:r>
      <w:r>
        <w:t xml:space="preserve"> </w:t>
      </w:r>
    </w:p>
    <w:p w14:paraId="284B4A66" w14:textId="34A4951F" w:rsidR="004D322D" w:rsidRDefault="00421193" w:rsidP="004D322D">
      <w:pPr>
        <w:jc w:val="both"/>
      </w:pPr>
      <w:r>
        <w:t>L’inflation : le  p</w:t>
      </w:r>
      <w:r w:rsidR="004D322D">
        <w:t xml:space="preserve">roblème est que les  marchés financiers sont très réactifs. </w:t>
      </w:r>
    </w:p>
    <w:p w14:paraId="6B71E426" w14:textId="67D9EA80" w:rsidR="004D322D" w:rsidRDefault="004D322D" w:rsidP="004D322D">
      <w:pPr>
        <w:jc w:val="both"/>
      </w:pPr>
      <w:r>
        <w:t>La croissance</w:t>
      </w:r>
      <w:r w:rsidR="00421193">
        <w:t> :</w:t>
      </w:r>
      <w:r w:rsidR="00D15427">
        <w:t xml:space="preserve"> I</w:t>
      </w:r>
      <w:r>
        <w:t>l faut rec</w:t>
      </w:r>
      <w:r w:rsidR="00421193">
        <w:t>ourir à davantage d’endettement</w:t>
      </w:r>
      <w:r>
        <w:t xml:space="preserve"> </w:t>
      </w:r>
      <w:r w:rsidR="00421193">
        <w:t>(</w:t>
      </w:r>
      <w:r>
        <w:t>Risque de fuite en avant</w:t>
      </w:r>
      <w:r w:rsidR="00421193">
        <w:t>)</w:t>
      </w:r>
      <w:r>
        <w:t>.</w:t>
      </w:r>
    </w:p>
    <w:p w14:paraId="419FB388" w14:textId="27456DA1" w:rsidR="004D322D" w:rsidRDefault="00421193" w:rsidP="004D322D">
      <w:pPr>
        <w:jc w:val="both"/>
      </w:pPr>
      <w:r>
        <w:t>Le p</w:t>
      </w:r>
      <w:r w:rsidR="004D322D">
        <w:t>roblème de soutenabilité de la dette dépend des perspectives futures</w:t>
      </w:r>
      <w:r>
        <w:t> et notamment de l’</w:t>
      </w:r>
      <w:r w:rsidR="00D15427">
        <w:t xml:space="preserve">écart entre </w:t>
      </w:r>
      <w:r>
        <w:t xml:space="preserve">le </w:t>
      </w:r>
      <w:r w:rsidR="00D15427">
        <w:t>taux d</w:t>
      </w:r>
      <w:r>
        <w:t>e croissance de l’économie et le</w:t>
      </w:r>
      <w:r w:rsidR="00D15427">
        <w:t xml:space="preserve"> taux d’intérêt réel. C’est ce qui fait la dynamique de la dette.</w:t>
      </w:r>
    </w:p>
    <w:p w14:paraId="26B73356" w14:textId="77777777" w:rsidR="00D15427" w:rsidRDefault="00D15427" w:rsidP="004D322D">
      <w:pPr>
        <w:jc w:val="both"/>
      </w:pPr>
    </w:p>
    <w:p w14:paraId="35E988E2" w14:textId="77777777" w:rsidR="008227D3" w:rsidRDefault="00421193" w:rsidP="004D322D">
      <w:pPr>
        <w:jc w:val="both"/>
        <w:rPr>
          <w:b/>
        </w:rPr>
      </w:pPr>
      <w:r w:rsidRPr="008227D3">
        <w:rPr>
          <w:b/>
        </w:rPr>
        <w:t>Faut – il r</w:t>
      </w:r>
      <w:r w:rsidR="00D15427" w:rsidRPr="008227D3">
        <w:rPr>
          <w:b/>
        </w:rPr>
        <w:t>enforcer le pacte ?</w:t>
      </w:r>
    </w:p>
    <w:p w14:paraId="411D667B" w14:textId="1F4DFB47" w:rsidR="00D15427" w:rsidRPr="008227D3" w:rsidRDefault="008227D3" w:rsidP="004D322D">
      <w:pPr>
        <w:jc w:val="both"/>
        <w:rPr>
          <w:b/>
        </w:rPr>
      </w:pPr>
      <w:r>
        <w:t>La n</w:t>
      </w:r>
      <w:r w:rsidR="00D15427">
        <w:t>otion de déficit structurel s’appuie sur la notion de croissance potentielle que l’on ne sait pas mesurer.</w:t>
      </w:r>
    </w:p>
    <w:p w14:paraId="10AEC9D6" w14:textId="77777777" w:rsidR="00C654A5" w:rsidRDefault="00D15427" w:rsidP="004D322D">
      <w:pPr>
        <w:jc w:val="both"/>
      </w:pPr>
      <w:r>
        <w:t>Obligation d’équilibre budgétaire (règle d’or).</w:t>
      </w:r>
      <w:r w:rsidR="008227D3">
        <w:t xml:space="preserve"> Elle pose le p</w:t>
      </w:r>
      <w:r>
        <w:t xml:space="preserve">roblème de </w:t>
      </w:r>
      <w:r w:rsidR="008227D3">
        <w:t xml:space="preserve">la </w:t>
      </w:r>
      <w:r>
        <w:t xml:space="preserve">souveraineté. </w:t>
      </w:r>
      <w:r w:rsidR="008227D3">
        <w:t>Quel doit être le r</w:t>
      </w:r>
      <w:r>
        <w:t>ôle des instances européennes dans le processus d’élaborati</w:t>
      </w:r>
      <w:r w:rsidR="00C654A5">
        <w:t xml:space="preserve">on des budgets nationaux ? </w:t>
      </w:r>
    </w:p>
    <w:p w14:paraId="396BBB8D" w14:textId="1C81DF0D" w:rsidR="00D15427" w:rsidRDefault="00C654A5" w:rsidP="004D322D">
      <w:pPr>
        <w:jc w:val="both"/>
      </w:pPr>
      <w:r>
        <w:t>Ce</w:t>
      </w:r>
      <w:r w:rsidR="008227D3">
        <w:t xml:space="preserve">la est sans doute nécessaire </w:t>
      </w:r>
      <w:r w:rsidR="00D15427">
        <w:t xml:space="preserve"> pour éviter les travers de la période précédente et pallier la défaillance des marchés financiers et agence de notation.</w:t>
      </w:r>
    </w:p>
    <w:p w14:paraId="5C6E65D0" w14:textId="28451546" w:rsidR="00D15427" w:rsidRDefault="00C654A5" w:rsidP="004D322D">
      <w:pPr>
        <w:jc w:val="both"/>
      </w:pPr>
      <w:r>
        <w:t>Mais q</w:t>
      </w:r>
      <w:r w:rsidR="00D15427">
        <w:t>uelles modalités ?</w:t>
      </w:r>
    </w:p>
    <w:p w14:paraId="1244B37C" w14:textId="77777777" w:rsidR="00D15427" w:rsidRDefault="00D15427" w:rsidP="004D322D">
      <w:pPr>
        <w:jc w:val="both"/>
      </w:pPr>
    </w:p>
    <w:sectPr w:rsidR="00D15427" w:rsidSect="00974E12">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9E58C" w14:textId="77777777" w:rsidR="009F59F7" w:rsidRDefault="009F59F7" w:rsidP="00EE1373">
      <w:r>
        <w:separator/>
      </w:r>
    </w:p>
  </w:endnote>
  <w:endnote w:type="continuationSeparator" w:id="0">
    <w:p w14:paraId="392198E0" w14:textId="77777777" w:rsidR="009F59F7" w:rsidRDefault="009F59F7" w:rsidP="00EE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7AB80" w14:textId="0C0DDB76" w:rsidR="00A13688" w:rsidRDefault="00A13688" w:rsidP="00A13688">
    <w:pPr>
      <w:pStyle w:val="Pieddepage"/>
      <w:tabs>
        <w:tab w:val="clear" w:pos="4536"/>
      </w:tabs>
    </w:pPr>
    <w:r>
      <w:t xml:space="preserve">Compte rendu M Gosse. </w:t>
    </w:r>
    <w:sdt>
      <w:sdtPr>
        <w:rPr>
          <w:sz w:val="20"/>
          <w:szCs w:val="20"/>
        </w:rPr>
        <w:id w:val="645320873"/>
        <w:docPartObj>
          <w:docPartGallery w:val="Page Numbers (Bottom of Page)"/>
          <w:docPartUnique/>
        </w:docPartObj>
      </w:sdtPr>
      <w:sdtContent>
        <w:sdt>
          <w:sdtPr>
            <w:rPr>
              <w:sz w:val="20"/>
              <w:szCs w:val="20"/>
            </w:rPr>
            <w:id w:val="-1669238322"/>
            <w:docPartObj>
              <w:docPartGallery w:val="Page Numbers (Top of Page)"/>
              <w:docPartUnique/>
            </w:docPartObj>
          </w:sdtPr>
          <w:sdtContent>
            <w:r w:rsidRPr="00A13688">
              <w:rPr>
                <w:sz w:val="20"/>
                <w:szCs w:val="20"/>
              </w:rPr>
              <w:tab/>
              <w:t xml:space="preserve">Page </w:t>
            </w:r>
            <w:r w:rsidRPr="00A13688">
              <w:rPr>
                <w:b/>
                <w:bCs/>
                <w:sz w:val="20"/>
                <w:szCs w:val="20"/>
              </w:rPr>
              <w:fldChar w:fldCharType="begin"/>
            </w:r>
            <w:r w:rsidRPr="00A13688">
              <w:rPr>
                <w:b/>
                <w:bCs/>
                <w:sz w:val="20"/>
                <w:szCs w:val="20"/>
              </w:rPr>
              <w:instrText>PAGE</w:instrText>
            </w:r>
            <w:r w:rsidRPr="00A13688">
              <w:rPr>
                <w:b/>
                <w:bCs/>
                <w:sz w:val="20"/>
                <w:szCs w:val="20"/>
              </w:rPr>
              <w:fldChar w:fldCharType="separate"/>
            </w:r>
            <w:r>
              <w:rPr>
                <w:b/>
                <w:bCs/>
                <w:noProof/>
                <w:sz w:val="20"/>
                <w:szCs w:val="20"/>
              </w:rPr>
              <w:t>4</w:t>
            </w:r>
            <w:r w:rsidRPr="00A13688">
              <w:rPr>
                <w:b/>
                <w:bCs/>
                <w:sz w:val="20"/>
                <w:szCs w:val="20"/>
              </w:rPr>
              <w:fldChar w:fldCharType="end"/>
            </w:r>
            <w:r w:rsidRPr="00A13688">
              <w:rPr>
                <w:sz w:val="20"/>
                <w:szCs w:val="20"/>
              </w:rPr>
              <w:t xml:space="preserve"> sur </w:t>
            </w:r>
            <w:r w:rsidRPr="00A13688">
              <w:rPr>
                <w:b/>
                <w:bCs/>
                <w:sz w:val="20"/>
                <w:szCs w:val="20"/>
              </w:rPr>
              <w:fldChar w:fldCharType="begin"/>
            </w:r>
            <w:r w:rsidRPr="00A13688">
              <w:rPr>
                <w:b/>
                <w:bCs/>
                <w:sz w:val="20"/>
                <w:szCs w:val="20"/>
              </w:rPr>
              <w:instrText>NUMPAGES</w:instrText>
            </w:r>
            <w:r w:rsidRPr="00A13688">
              <w:rPr>
                <w:b/>
                <w:bCs/>
                <w:sz w:val="20"/>
                <w:szCs w:val="20"/>
              </w:rPr>
              <w:fldChar w:fldCharType="separate"/>
            </w:r>
            <w:r>
              <w:rPr>
                <w:b/>
                <w:bCs/>
                <w:noProof/>
                <w:sz w:val="20"/>
                <w:szCs w:val="20"/>
              </w:rPr>
              <w:t>4</w:t>
            </w:r>
            <w:r w:rsidRPr="00A13688">
              <w:rPr>
                <w:b/>
                <w:bCs/>
                <w:sz w:val="20"/>
                <w:szCs w:val="20"/>
              </w:rPr>
              <w:fldChar w:fldCharType="end"/>
            </w:r>
          </w:sdtContent>
        </w:sdt>
      </w:sdtContent>
    </w:sdt>
  </w:p>
  <w:p w14:paraId="76C14286" w14:textId="77777777" w:rsidR="00B31A7A" w:rsidRDefault="00B31A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7EAC7" w14:textId="77777777" w:rsidR="009F59F7" w:rsidRDefault="009F59F7" w:rsidP="00EE1373">
      <w:r>
        <w:separator/>
      </w:r>
    </w:p>
  </w:footnote>
  <w:footnote w:type="continuationSeparator" w:id="0">
    <w:p w14:paraId="155DD243" w14:textId="77777777" w:rsidR="009F59F7" w:rsidRDefault="009F59F7" w:rsidP="00EE1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04"/>
    <w:multiLevelType w:val="hybridMultilevel"/>
    <w:tmpl w:val="D8F4AAB2"/>
    <w:lvl w:ilvl="0" w:tplc="CD92D58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13"/>
    <w:rsid w:val="00021BC7"/>
    <w:rsid w:val="000E6B09"/>
    <w:rsid w:val="001A577E"/>
    <w:rsid w:val="001B4016"/>
    <w:rsid w:val="001D5113"/>
    <w:rsid w:val="00276061"/>
    <w:rsid w:val="003318A6"/>
    <w:rsid w:val="003B73B1"/>
    <w:rsid w:val="003C678D"/>
    <w:rsid w:val="00421193"/>
    <w:rsid w:val="00454DD3"/>
    <w:rsid w:val="004D322D"/>
    <w:rsid w:val="00557E32"/>
    <w:rsid w:val="00633677"/>
    <w:rsid w:val="00661168"/>
    <w:rsid w:val="00680B67"/>
    <w:rsid w:val="006A5A22"/>
    <w:rsid w:val="007A45CB"/>
    <w:rsid w:val="007C1D80"/>
    <w:rsid w:val="008227D3"/>
    <w:rsid w:val="008A0B5A"/>
    <w:rsid w:val="008A6551"/>
    <w:rsid w:val="008C39B7"/>
    <w:rsid w:val="00956CC2"/>
    <w:rsid w:val="0095766B"/>
    <w:rsid w:val="00974E12"/>
    <w:rsid w:val="009B1FA6"/>
    <w:rsid w:val="009B2800"/>
    <w:rsid w:val="009F59F7"/>
    <w:rsid w:val="00A13688"/>
    <w:rsid w:val="00AC1DFD"/>
    <w:rsid w:val="00AD1D76"/>
    <w:rsid w:val="00B21D21"/>
    <w:rsid w:val="00B31A7A"/>
    <w:rsid w:val="00B45596"/>
    <w:rsid w:val="00BD4821"/>
    <w:rsid w:val="00C10CB7"/>
    <w:rsid w:val="00C654A5"/>
    <w:rsid w:val="00C73655"/>
    <w:rsid w:val="00CB6821"/>
    <w:rsid w:val="00CE4E6A"/>
    <w:rsid w:val="00D15427"/>
    <w:rsid w:val="00DF623C"/>
    <w:rsid w:val="00E47030"/>
    <w:rsid w:val="00EE1373"/>
    <w:rsid w:val="00F06AFD"/>
    <w:rsid w:val="00FB2AB7"/>
    <w:rsid w:val="00FE655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B43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577E"/>
    <w:pPr>
      <w:ind w:left="720"/>
      <w:contextualSpacing/>
    </w:pPr>
  </w:style>
  <w:style w:type="paragraph" w:styleId="En-tte">
    <w:name w:val="header"/>
    <w:basedOn w:val="Normal"/>
    <w:link w:val="En-tteCar"/>
    <w:uiPriority w:val="99"/>
    <w:unhideWhenUsed/>
    <w:rsid w:val="00EE1373"/>
    <w:pPr>
      <w:tabs>
        <w:tab w:val="center" w:pos="4536"/>
        <w:tab w:val="right" w:pos="9072"/>
      </w:tabs>
    </w:pPr>
  </w:style>
  <w:style w:type="character" w:customStyle="1" w:styleId="En-tteCar">
    <w:name w:val="En-tête Car"/>
    <w:basedOn w:val="Policepardfaut"/>
    <w:link w:val="En-tte"/>
    <w:uiPriority w:val="99"/>
    <w:rsid w:val="00EE1373"/>
  </w:style>
  <w:style w:type="paragraph" w:styleId="Pieddepage">
    <w:name w:val="footer"/>
    <w:basedOn w:val="Normal"/>
    <w:link w:val="PieddepageCar"/>
    <w:uiPriority w:val="99"/>
    <w:unhideWhenUsed/>
    <w:rsid w:val="00EE1373"/>
    <w:pPr>
      <w:tabs>
        <w:tab w:val="center" w:pos="4536"/>
        <w:tab w:val="right" w:pos="9072"/>
      </w:tabs>
    </w:pPr>
  </w:style>
  <w:style w:type="character" w:customStyle="1" w:styleId="PieddepageCar">
    <w:name w:val="Pied de page Car"/>
    <w:basedOn w:val="Policepardfaut"/>
    <w:link w:val="Pieddepage"/>
    <w:uiPriority w:val="99"/>
    <w:rsid w:val="00EE1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577E"/>
    <w:pPr>
      <w:ind w:left="720"/>
      <w:contextualSpacing/>
    </w:pPr>
  </w:style>
  <w:style w:type="paragraph" w:styleId="En-tte">
    <w:name w:val="header"/>
    <w:basedOn w:val="Normal"/>
    <w:link w:val="En-tteCar"/>
    <w:uiPriority w:val="99"/>
    <w:unhideWhenUsed/>
    <w:rsid w:val="00EE1373"/>
    <w:pPr>
      <w:tabs>
        <w:tab w:val="center" w:pos="4536"/>
        <w:tab w:val="right" w:pos="9072"/>
      </w:tabs>
    </w:pPr>
  </w:style>
  <w:style w:type="character" w:customStyle="1" w:styleId="En-tteCar">
    <w:name w:val="En-tête Car"/>
    <w:basedOn w:val="Policepardfaut"/>
    <w:link w:val="En-tte"/>
    <w:uiPriority w:val="99"/>
    <w:rsid w:val="00EE1373"/>
  </w:style>
  <w:style w:type="paragraph" w:styleId="Pieddepage">
    <w:name w:val="footer"/>
    <w:basedOn w:val="Normal"/>
    <w:link w:val="PieddepageCar"/>
    <w:uiPriority w:val="99"/>
    <w:unhideWhenUsed/>
    <w:rsid w:val="00EE1373"/>
    <w:pPr>
      <w:tabs>
        <w:tab w:val="center" w:pos="4536"/>
        <w:tab w:val="right" w:pos="9072"/>
      </w:tabs>
    </w:pPr>
  </w:style>
  <w:style w:type="character" w:customStyle="1" w:styleId="PieddepageCar">
    <w:name w:val="Pied de page Car"/>
    <w:basedOn w:val="Policepardfaut"/>
    <w:link w:val="Pieddepage"/>
    <w:uiPriority w:val="99"/>
    <w:rsid w:val="00EE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4</Pages>
  <Words>1804</Words>
  <Characters>9928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2012-03-19T08:44:00Z</dcterms:created>
  <dc:creator>XAVIER GOSSE</dc:creator>
  <lastModifiedBy>Philippe Froissart</lastModifiedBy>
  <dcterms:modified xsi:type="dcterms:W3CDTF">2012-03-29T08:58:00Z</dcterms:modified>
  <revision>28</revision>
</coreProperties>
</file>