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CE" w:rsidRPr="00B82568" w:rsidRDefault="008D0DCE" w:rsidP="008D0DCE">
      <w:pPr>
        <w:spacing w:after="0" w:line="240" w:lineRule="auto"/>
        <w:jc w:val="both"/>
        <w:rPr>
          <w:rFonts w:ascii="Times New Roman" w:hAnsi="Times New Roman"/>
          <w:b/>
          <w:sz w:val="28"/>
          <w:szCs w:val="28"/>
        </w:rPr>
      </w:pPr>
      <w:r w:rsidRPr="00B82568">
        <w:rPr>
          <w:rFonts w:ascii="Times New Roman" w:hAnsi="Times New Roman"/>
          <w:b/>
          <w:sz w:val="28"/>
          <w:szCs w:val="28"/>
        </w:rPr>
        <w:t>Activité 2 : Chocs d’offre et chocs de demande</w:t>
      </w:r>
    </w:p>
    <w:p w:rsidR="008D0DCE" w:rsidRDefault="008D0DCE" w:rsidP="008D0DCE">
      <w:pPr>
        <w:spacing w:after="0" w:line="240" w:lineRule="auto"/>
        <w:jc w:val="both"/>
        <w:rPr>
          <w:rFonts w:ascii="Times New Roman" w:hAnsi="Times New Roman"/>
          <w:sz w:val="24"/>
          <w:szCs w:val="24"/>
        </w:rPr>
      </w:pPr>
    </w:p>
    <w:p w:rsidR="008D0DCE" w:rsidRDefault="008D0DCE" w:rsidP="008D0DCE">
      <w:pPr>
        <w:spacing w:after="0" w:line="240" w:lineRule="auto"/>
        <w:jc w:val="both"/>
        <w:rPr>
          <w:rFonts w:ascii="Times New Roman" w:hAnsi="Times New Roman"/>
          <w:sz w:val="24"/>
          <w:szCs w:val="24"/>
        </w:rPr>
      </w:pPr>
      <w:r w:rsidRPr="00B82568">
        <w:rPr>
          <w:rFonts w:ascii="Times New Roman" w:hAnsi="Times New Roman"/>
          <w:b/>
          <w:sz w:val="24"/>
          <w:szCs w:val="24"/>
        </w:rPr>
        <w:t>Objectif</w:t>
      </w:r>
      <w:r>
        <w:rPr>
          <w:rFonts w:ascii="Times New Roman" w:hAnsi="Times New Roman"/>
          <w:sz w:val="24"/>
          <w:szCs w:val="24"/>
        </w:rPr>
        <w:t> : distinguer chocs d’offre et chocs de demande, à partir des exemples des crises de 1973 et de 2009.</w:t>
      </w:r>
    </w:p>
    <w:p w:rsidR="008D0DCE" w:rsidRDefault="008D0DCE" w:rsidP="008D0DCE">
      <w:pPr>
        <w:spacing w:after="0" w:line="240" w:lineRule="auto"/>
        <w:jc w:val="both"/>
        <w:rPr>
          <w:rFonts w:ascii="Times New Roman" w:hAnsi="Times New Roman"/>
          <w:sz w:val="24"/>
          <w:szCs w:val="24"/>
        </w:rPr>
      </w:pPr>
    </w:p>
    <w:p w:rsidR="008D0DCE" w:rsidRDefault="008D0DCE" w:rsidP="008D0DCE">
      <w:pPr>
        <w:spacing w:after="0" w:line="240" w:lineRule="auto"/>
        <w:jc w:val="both"/>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 xml:space="preserve"> : ARTUS Patrick, « Ne pas oublier que nous sommes confrontés à un choc de demande négatif », </w:t>
      </w:r>
      <w:r w:rsidRPr="00B82568">
        <w:rPr>
          <w:rFonts w:ascii="Times New Roman" w:hAnsi="Times New Roman"/>
          <w:i/>
          <w:sz w:val="24"/>
          <w:szCs w:val="24"/>
        </w:rPr>
        <w:t>Flash économie</w:t>
      </w:r>
      <w:r>
        <w:rPr>
          <w:rFonts w:ascii="Times New Roman" w:hAnsi="Times New Roman"/>
          <w:sz w:val="24"/>
          <w:szCs w:val="24"/>
        </w:rPr>
        <w:t xml:space="preserve">, n°350, 31 juillet 2009, fichier disponible à l’adresse suivante : </w:t>
      </w:r>
      <w:hyperlink r:id="rId7" w:history="1">
        <w:r w:rsidRPr="00807433">
          <w:rPr>
            <w:rStyle w:val="Lienhypertexte"/>
            <w:rFonts w:ascii="Times New Roman" w:hAnsi="Times New Roman"/>
            <w:sz w:val="24"/>
            <w:szCs w:val="24"/>
          </w:rPr>
          <w:t>http://cib.natixis.com/flushdoc.aspx?i</w:t>
        </w:r>
        <w:r w:rsidRPr="00807433">
          <w:rPr>
            <w:rStyle w:val="Lienhypertexte"/>
            <w:rFonts w:ascii="Times New Roman" w:hAnsi="Times New Roman"/>
            <w:sz w:val="24"/>
            <w:szCs w:val="24"/>
          </w:rPr>
          <w:t>d</w:t>
        </w:r>
        <w:r w:rsidRPr="00807433">
          <w:rPr>
            <w:rStyle w:val="Lienhypertexte"/>
            <w:rFonts w:ascii="Times New Roman" w:hAnsi="Times New Roman"/>
            <w:sz w:val="24"/>
            <w:szCs w:val="24"/>
          </w:rPr>
          <w:t>=48179</w:t>
        </w:r>
      </w:hyperlink>
      <w:r>
        <w:rPr>
          <w:rFonts w:ascii="Times New Roman" w:hAnsi="Times New Roman"/>
          <w:sz w:val="24"/>
          <w:szCs w:val="24"/>
        </w:rPr>
        <w:t xml:space="preserve"> </w:t>
      </w:r>
    </w:p>
    <w:p w:rsidR="008D0DCE" w:rsidRDefault="008D0DCE" w:rsidP="008D0DCE">
      <w:pPr>
        <w:spacing w:after="0" w:line="240" w:lineRule="auto"/>
        <w:jc w:val="both"/>
        <w:rPr>
          <w:rFonts w:ascii="Times New Roman" w:hAnsi="Times New Roman"/>
          <w:sz w:val="24"/>
          <w:szCs w:val="24"/>
        </w:rPr>
      </w:pPr>
    </w:p>
    <w:p w:rsidR="008D0DCE" w:rsidRDefault="008D0DCE" w:rsidP="008D0DCE">
      <w:pPr>
        <w:spacing w:after="0" w:line="240" w:lineRule="auto"/>
        <w:jc w:val="both"/>
        <w:rPr>
          <w:rFonts w:ascii="Times New Roman" w:hAnsi="Times New Roman"/>
          <w:sz w:val="24"/>
          <w:szCs w:val="24"/>
        </w:rPr>
      </w:pPr>
      <w:r>
        <w:rPr>
          <w:rFonts w:ascii="Times New Roman" w:hAnsi="Times New Roman"/>
          <w:sz w:val="24"/>
          <w:szCs w:val="24"/>
        </w:rPr>
        <w:t xml:space="preserve">Présenter aux élèves </w:t>
      </w:r>
      <w:proofErr w:type="gramStart"/>
      <w:r>
        <w:rPr>
          <w:rFonts w:ascii="Times New Roman" w:hAnsi="Times New Roman"/>
          <w:sz w:val="24"/>
          <w:szCs w:val="24"/>
        </w:rPr>
        <w:t>les graphiques</w:t>
      </w:r>
      <w:proofErr w:type="gramEnd"/>
      <w:r>
        <w:rPr>
          <w:rFonts w:ascii="Times New Roman" w:hAnsi="Times New Roman"/>
          <w:sz w:val="24"/>
          <w:szCs w:val="24"/>
        </w:rPr>
        <w:t xml:space="preserve"> 1 et 7 reproduit ci-dessous :</w:t>
      </w:r>
    </w:p>
    <w:p w:rsidR="008D0DCE" w:rsidRDefault="00534FF5" w:rsidP="00336D8F">
      <w:pPr>
        <w:spacing w:after="0" w:line="240" w:lineRule="auto"/>
        <w:jc w:val="center"/>
        <w:rPr>
          <w:rFonts w:ascii="Times New Roman" w:hAnsi="Times New Roman"/>
          <w:sz w:val="24"/>
          <w:szCs w:val="24"/>
        </w:rPr>
      </w:pPr>
      <w:r>
        <w:rPr>
          <w:noProof/>
          <w:lang w:eastAsia="zh-CN"/>
        </w:rPr>
        <w:drawing>
          <wp:inline distT="0" distB="0" distL="0" distR="0" wp14:anchorId="708B23C1" wp14:editId="6662B83C">
            <wp:extent cx="4625162" cy="3459694"/>
            <wp:effectExtent l="0" t="0" r="444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23471" cy="3458429"/>
                    </a:xfrm>
                    <a:prstGeom prst="rect">
                      <a:avLst/>
                    </a:prstGeom>
                  </pic:spPr>
                </pic:pic>
              </a:graphicData>
            </a:graphic>
          </wp:inline>
        </w:drawing>
      </w:r>
    </w:p>
    <w:p w:rsidR="00336D8F" w:rsidRDefault="00336D8F" w:rsidP="00336D8F">
      <w:pPr>
        <w:spacing w:after="0" w:line="240" w:lineRule="auto"/>
        <w:jc w:val="center"/>
        <w:rPr>
          <w:rFonts w:ascii="Times New Roman" w:hAnsi="Times New Roman"/>
          <w:sz w:val="24"/>
          <w:szCs w:val="24"/>
        </w:rPr>
      </w:pPr>
    </w:p>
    <w:p w:rsidR="00534FF5" w:rsidRDefault="00336D8F" w:rsidP="00336D8F">
      <w:pPr>
        <w:spacing w:after="0" w:line="240" w:lineRule="auto"/>
        <w:jc w:val="center"/>
        <w:rPr>
          <w:rFonts w:ascii="Times New Roman" w:hAnsi="Times New Roman"/>
          <w:sz w:val="24"/>
          <w:szCs w:val="24"/>
        </w:rPr>
      </w:pPr>
      <w:r>
        <w:rPr>
          <w:noProof/>
          <w:lang w:eastAsia="zh-CN"/>
        </w:rPr>
        <w:drawing>
          <wp:inline distT="0" distB="0" distL="0" distR="0" wp14:anchorId="174754AF" wp14:editId="5CAAA2C7">
            <wp:extent cx="4508205" cy="3311259"/>
            <wp:effectExtent l="0" t="0" r="698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14568" cy="3315932"/>
                    </a:xfrm>
                    <a:prstGeom prst="rect">
                      <a:avLst/>
                    </a:prstGeom>
                  </pic:spPr>
                </pic:pic>
              </a:graphicData>
            </a:graphic>
          </wp:inline>
        </w:drawing>
      </w:r>
    </w:p>
    <w:p w:rsidR="008D0DCE" w:rsidRDefault="008D0DCE" w:rsidP="008D0DCE">
      <w:pPr>
        <w:spacing w:after="0" w:line="240" w:lineRule="auto"/>
        <w:jc w:val="both"/>
        <w:rPr>
          <w:rFonts w:ascii="Times New Roman" w:hAnsi="Times New Roman"/>
          <w:sz w:val="24"/>
          <w:szCs w:val="24"/>
        </w:rPr>
      </w:pPr>
    </w:p>
    <w:p w:rsidR="008D0DCE" w:rsidRDefault="008D0DCE" w:rsidP="008D0DCE">
      <w:pPr>
        <w:spacing w:after="0" w:line="240" w:lineRule="auto"/>
        <w:jc w:val="both"/>
        <w:rPr>
          <w:rFonts w:ascii="Times New Roman" w:hAnsi="Times New Roman"/>
          <w:sz w:val="24"/>
          <w:szCs w:val="24"/>
        </w:rPr>
      </w:pPr>
    </w:p>
    <w:p w:rsidR="008D0DCE" w:rsidRDefault="008D0DCE" w:rsidP="008D0DCE">
      <w:pPr>
        <w:spacing w:before="120" w:after="120" w:line="240" w:lineRule="auto"/>
        <w:jc w:val="both"/>
        <w:rPr>
          <w:rFonts w:ascii="Times New Roman" w:hAnsi="Times New Roman"/>
          <w:sz w:val="24"/>
          <w:szCs w:val="24"/>
        </w:rPr>
      </w:pPr>
      <w:r>
        <w:rPr>
          <w:rFonts w:ascii="Times New Roman" w:hAnsi="Times New Roman"/>
          <w:sz w:val="24"/>
          <w:szCs w:val="24"/>
        </w:rPr>
        <w:t>Q1 : Le graphique 1 illustre-t-il en 1973 un choc d’offre ou un choc de demande ? Positif ou négatif ? Pourquoi ?</w:t>
      </w:r>
    </w:p>
    <w:p w:rsidR="008D0DCE" w:rsidRDefault="008D0DCE" w:rsidP="008D0DCE">
      <w:pPr>
        <w:spacing w:before="120" w:after="120" w:line="240" w:lineRule="auto"/>
        <w:jc w:val="both"/>
        <w:rPr>
          <w:rFonts w:ascii="Times New Roman" w:hAnsi="Times New Roman"/>
          <w:sz w:val="24"/>
          <w:szCs w:val="24"/>
        </w:rPr>
      </w:pPr>
      <w:r>
        <w:rPr>
          <w:rFonts w:ascii="Times New Roman" w:hAnsi="Times New Roman"/>
          <w:sz w:val="24"/>
          <w:szCs w:val="24"/>
        </w:rPr>
        <w:t>Q2 : Le graphique 7 illustre-t-il pour l’année 2009 un choc d’offre ou un choc de demande ? Positif ou négatif ? Pourquoi ?</w:t>
      </w:r>
    </w:p>
    <w:p w:rsidR="008D0DCE" w:rsidRDefault="008D0DCE" w:rsidP="008D0DCE">
      <w:pPr>
        <w:spacing w:before="120" w:after="120" w:line="240" w:lineRule="auto"/>
        <w:jc w:val="both"/>
        <w:rPr>
          <w:rFonts w:ascii="Times New Roman" w:hAnsi="Times New Roman"/>
          <w:sz w:val="24"/>
          <w:szCs w:val="24"/>
        </w:rPr>
      </w:pPr>
      <w:r>
        <w:rPr>
          <w:rFonts w:ascii="Times New Roman" w:hAnsi="Times New Roman"/>
          <w:sz w:val="24"/>
          <w:szCs w:val="24"/>
        </w:rPr>
        <w:t>Q3 : Demander aux élèves de citer des chocs symétriques aux deux précédents : choc d’offre positif (baisse du coût d’une matière première, baisse du coût du travail, diffusion d’une innovation de procédé qui permet des gains de productivité,…) et choc de demande positif (augmentation de la demande interne (d’investissement et/ou de consommation) et/ou de la demande externe).</w:t>
      </w:r>
    </w:p>
    <w:p w:rsidR="008D0DCE" w:rsidRDefault="008D0DCE" w:rsidP="008D0DCE">
      <w:pPr>
        <w:spacing w:before="120" w:after="120" w:line="240" w:lineRule="auto"/>
        <w:jc w:val="both"/>
        <w:rPr>
          <w:rFonts w:ascii="Times New Roman" w:hAnsi="Times New Roman"/>
          <w:sz w:val="24"/>
          <w:szCs w:val="24"/>
        </w:rPr>
      </w:pPr>
      <w:r>
        <w:rPr>
          <w:rFonts w:ascii="Times New Roman" w:hAnsi="Times New Roman"/>
          <w:sz w:val="24"/>
          <w:szCs w:val="24"/>
        </w:rPr>
        <w:t>Q4 : Faire classer dans le tableau ci-dessous les exemples pertinents évoqués dans les questions précédentes (en s’i</w:t>
      </w:r>
      <w:r w:rsidR="00336D8F">
        <w:rPr>
          <w:rFonts w:ascii="Times New Roman" w:hAnsi="Times New Roman"/>
          <w:sz w:val="24"/>
          <w:szCs w:val="24"/>
        </w:rPr>
        <w:t>nspirant de l’exemple proposé)  </w:t>
      </w:r>
    </w:p>
    <w:p w:rsidR="00336D8F" w:rsidRDefault="00336D8F" w:rsidP="008D0DCE">
      <w:pPr>
        <w:spacing w:before="120" w:after="120" w:line="240" w:lineRule="auto"/>
        <w:jc w:val="both"/>
        <w:rPr>
          <w:rFonts w:ascii="Times New Roman" w:hAnsi="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42"/>
        <w:gridCol w:w="3843"/>
      </w:tblGrid>
      <w:tr w:rsidR="008D0DCE" w:rsidRPr="00336D8F" w:rsidTr="00336D8F">
        <w:tc>
          <w:tcPr>
            <w:tcW w:w="2093" w:type="dxa"/>
            <w:tcBorders>
              <w:top w:val="nil"/>
              <w:left w:val="nil"/>
            </w:tcBorders>
            <w:vAlign w:val="center"/>
          </w:tcPr>
          <w:p w:rsidR="008D0DCE" w:rsidRPr="00336D8F" w:rsidRDefault="008D0DCE" w:rsidP="00336D8F">
            <w:pPr>
              <w:spacing w:after="0" w:line="240" w:lineRule="auto"/>
              <w:rPr>
                <w:rFonts w:ascii="Times New Roman" w:hAnsi="Times New Roman"/>
                <w:b/>
                <w:sz w:val="24"/>
                <w:szCs w:val="24"/>
              </w:rPr>
            </w:pPr>
          </w:p>
        </w:tc>
        <w:tc>
          <w:tcPr>
            <w:tcW w:w="3842" w:type="dxa"/>
            <w:vAlign w:val="center"/>
          </w:tcPr>
          <w:p w:rsidR="008D0DCE" w:rsidRPr="00336D8F" w:rsidRDefault="008D0DCE" w:rsidP="00BE0F73">
            <w:pPr>
              <w:spacing w:after="0" w:line="240" w:lineRule="auto"/>
              <w:jc w:val="center"/>
              <w:rPr>
                <w:rFonts w:ascii="Times New Roman" w:hAnsi="Times New Roman"/>
                <w:b/>
                <w:sz w:val="24"/>
                <w:szCs w:val="24"/>
              </w:rPr>
            </w:pPr>
            <w:r w:rsidRPr="00336D8F">
              <w:rPr>
                <w:rFonts w:ascii="Times New Roman" w:hAnsi="Times New Roman"/>
                <w:b/>
                <w:sz w:val="24"/>
                <w:szCs w:val="24"/>
              </w:rPr>
              <w:t>Choc positif</w:t>
            </w:r>
          </w:p>
        </w:tc>
        <w:tc>
          <w:tcPr>
            <w:tcW w:w="3843" w:type="dxa"/>
            <w:vAlign w:val="center"/>
          </w:tcPr>
          <w:p w:rsidR="008D0DCE" w:rsidRPr="00336D8F" w:rsidRDefault="008D0DCE" w:rsidP="00BE0F73">
            <w:pPr>
              <w:spacing w:after="0" w:line="240" w:lineRule="auto"/>
              <w:jc w:val="center"/>
              <w:rPr>
                <w:rFonts w:ascii="Times New Roman" w:hAnsi="Times New Roman"/>
                <w:b/>
                <w:sz w:val="24"/>
                <w:szCs w:val="24"/>
              </w:rPr>
            </w:pPr>
            <w:r w:rsidRPr="00336D8F">
              <w:rPr>
                <w:rFonts w:ascii="Times New Roman" w:hAnsi="Times New Roman"/>
                <w:b/>
                <w:sz w:val="24"/>
                <w:szCs w:val="24"/>
              </w:rPr>
              <w:t>Choc négatif</w:t>
            </w:r>
          </w:p>
        </w:tc>
      </w:tr>
      <w:tr w:rsidR="008D0DCE" w:rsidRPr="00B068DA" w:rsidTr="00BE0F73">
        <w:tc>
          <w:tcPr>
            <w:tcW w:w="2093" w:type="dxa"/>
            <w:vAlign w:val="center"/>
          </w:tcPr>
          <w:p w:rsidR="008D0DCE" w:rsidRPr="00336D8F" w:rsidRDefault="008D0DCE" w:rsidP="00BE0F73">
            <w:pPr>
              <w:spacing w:after="0" w:line="240" w:lineRule="auto"/>
              <w:jc w:val="center"/>
              <w:rPr>
                <w:rFonts w:ascii="Times New Roman" w:hAnsi="Times New Roman"/>
                <w:b/>
                <w:sz w:val="24"/>
                <w:szCs w:val="24"/>
              </w:rPr>
            </w:pPr>
            <w:r w:rsidRPr="00336D8F">
              <w:rPr>
                <w:rFonts w:ascii="Times New Roman" w:hAnsi="Times New Roman"/>
                <w:b/>
                <w:sz w:val="24"/>
                <w:szCs w:val="24"/>
              </w:rPr>
              <w:t xml:space="preserve">Choc </w:t>
            </w:r>
          </w:p>
          <w:p w:rsidR="008D0DCE" w:rsidRPr="00336D8F" w:rsidRDefault="008D0DCE" w:rsidP="00BE0F73">
            <w:pPr>
              <w:spacing w:after="0" w:line="240" w:lineRule="auto"/>
              <w:jc w:val="center"/>
              <w:rPr>
                <w:rFonts w:ascii="Times New Roman" w:hAnsi="Times New Roman"/>
                <w:b/>
                <w:sz w:val="24"/>
                <w:szCs w:val="24"/>
              </w:rPr>
            </w:pPr>
            <w:r w:rsidRPr="00336D8F">
              <w:rPr>
                <w:rFonts w:ascii="Times New Roman" w:hAnsi="Times New Roman"/>
                <w:b/>
                <w:sz w:val="24"/>
                <w:szCs w:val="24"/>
              </w:rPr>
              <w:t>d’offre</w:t>
            </w:r>
          </w:p>
        </w:tc>
        <w:tc>
          <w:tcPr>
            <w:tcW w:w="3842" w:type="dxa"/>
            <w:vAlign w:val="center"/>
          </w:tcPr>
          <w:p w:rsidR="008D0DCE" w:rsidRPr="00B068DA" w:rsidRDefault="008D0DCE" w:rsidP="00BE0F73">
            <w:pPr>
              <w:spacing w:after="0" w:line="240" w:lineRule="auto"/>
              <w:jc w:val="center"/>
              <w:rPr>
                <w:rFonts w:ascii="Times New Roman" w:hAnsi="Times New Roman"/>
                <w:sz w:val="24"/>
                <w:szCs w:val="24"/>
              </w:rPr>
            </w:pPr>
          </w:p>
          <w:p w:rsidR="008D0DCE" w:rsidRPr="00B068DA" w:rsidRDefault="008D0DCE" w:rsidP="00BE0F73">
            <w:pPr>
              <w:spacing w:after="0" w:line="240" w:lineRule="auto"/>
              <w:jc w:val="center"/>
              <w:rPr>
                <w:rFonts w:ascii="Times New Roman" w:hAnsi="Times New Roman"/>
                <w:sz w:val="24"/>
                <w:szCs w:val="24"/>
              </w:rPr>
            </w:pPr>
          </w:p>
          <w:p w:rsidR="008D0DCE" w:rsidRPr="00B068DA" w:rsidRDefault="008D0DCE" w:rsidP="00BE0F73">
            <w:pPr>
              <w:spacing w:after="0" w:line="240" w:lineRule="auto"/>
              <w:jc w:val="center"/>
              <w:rPr>
                <w:rFonts w:ascii="Times New Roman" w:hAnsi="Times New Roman"/>
                <w:sz w:val="24"/>
                <w:szCs w:val="24"/>
              </w:rPr>
            </w:pPr>
          </w:p>
          <w:p w:rsidR="008D0DCE" w:rsidRPr="00B068DA" w:rsidRDefault="008D0DCE" w:rsidP="00BE0F73">
            <w:pPr>
              <w:spacing w:after="0" w:line="240" w:lineRule="auto"/>
              <w:jc w:val="center"/>
              <w:rPr>
                <w:rFonts w:ascii="Times New Roman" w:hAnsi="Times New Roman"/>
                <w:sz w:val="24"/>
                <w:szCs w:val="24"/>
              </w:rPr>
            </w:pPr>
          </w:p>
        </w:tc>
        <w:tc>
          <w:tcPr>
            <w:tcW w:w="3843" w:type="dxa"/>
            <w:vAlign w:val="center"/>
          </w:tcPr>
          <w:p w:rsidR="008D0DCE" w:rsidRPr="00B068DA" w:rsidRDefault="008D0DCE" w:rsidP="00BE0F73">
            <w:pPr>
              <w:spacing w:after="0" w:line="240" w:lineRule="auto"/>
              <w:jc w:val="center"/>
              <w:rPr>
                <w:rFonts w:ascii="Times New Roman" w:hAnsi="Times New Roman"/>
                <w:sz w:val="24"/>
                <w:szCs w:val="24"/>
              </w:rPr>
            </w:pPr>
          </w:p>
        </w:tc>
      </w:tr>
      <w:tr w:rsidR="008D0DCE" w:rsidRPr="00B068DA" w:rsidTr="00BE0F73">
        <w:tc>
          <w:tcPr>
            <w:tcW w:w="2093" w:type="dxa"/>
            <w:vAlign w:val="center"/>
          </w:tcPr>
          <w:p w:rsidR="008D0DCE" w:rsidRPr="00336D8F" w:rsidRDefault="008D0DCE" w:rsidP="00BE0F73">
            <w:pPr>
              <w:spacing w:after="0" w:line="240" w:lineRule="auto"/>
              <w:jc w:val="center"/>
              <w:rPr>
                <w:rFonts w:ascii="Times New Roman" w:hAnsi="Times New Roman"/>
                <w:b/>
                <w:sz w:val="24"/>
                <w:szCs w:val="24"/>
              </w:rPr>
            </w:pPr>
            <w:r w:rsidRPr="00336D8F">
              <w:rPr>
                <w:rFonts w:ascii="Times New Roman" w:hAnsi="Times New Roman"/>
                <w:b/>
                <w:sz w:val="24"/>
                <w:szCs w:val="24"/>
              </w:rPr>
              <w:t xml:space="preserve">Choc </w:t>
            </w:r>
          </w:p>
          <w:p w:rsidR="008D0DCE" w:rsidRPr="00336D8F" w:rsidRDefault="008D0DCE" w:rsidP="00BE0F73">
            <w:pPr>
              <w:spacing w:after="0" w:line="240" w:lineRule="auto"/>
              <w:jc w:val="center"/>
              <w:rPr>
                <w:rFonts w:ascii="Times New Roman" w:hAnsi="Times New Roman"/>
                <w:b/>
                <w:sz w:val="24"/>
                <w:szCs w:val="24"/>
              </w:rPr>
            </w:pPr>
            <w:r w:rsidRPr="00336D8F">
              <w:rPr>
                <w:rFonts w:ascii="Times New Roman" w:hAnsi="Times New Roman"/>
                <w:b/>
                <w:sz w:val="24"/>
                <w:szCs w:val="24"/>
              </w:rPr>
              <w:t>de demande</w:t>
            </w:r>
          </w:p>
        </w:tc>
        <w:tc>
          <w:tcPr>
            <w:tcW w:w="3842" w:type="dxa"/>
            <w:vAlign w:val="center"/>
          </w:tcPr>
          <w:p w:rsidR="008D0DCE" w:rsidRPr="00B068DA" w:rsidRDefault="008D0DCE" w:rsidP="00BE0F73">
            <w:pPr>
              <w:spacing w:after="0" w:line="240" w:lineRule="auto"/>
              <w:jc w:val="center"/>
              <w:rPr>
                <w:rFonts w:ascii="Times New Roman" w:hAnsi="Times New Roman"/>
                <w:sz w:val="24"/>
                <w:szCs w:val="24"/>
              </w:rPr>
            </w:pPr>
          </w:p>
        </w:tc>
        <w:tc>
          <w:tcPr>
            <w:tcW w:w="3843" w:type="dxa"/>
            <w:vAlign w:val="center"/>
          </w:tcPr>
          <w:p w:rsidR="008D0DCE" w:rsidRPr="00B068DA" w:rsidRDefault="00336D8F" w:rsidP="00336D8F">
            <w:pPr>
              <w:spacing w:after="0" w:line="240" w:lineRule="auto"/>
              <w:jc w:val="center"/>
              <w:rPr>
                <w:rFonts w:ascii="Times New Roman" w:hAnsi="Times New Roman"/>
                <w:sz w:val="24"/>
                <w:szCs w:val="24"/>
              </w:rPr>
            </w:pPr>
            <w:r>
              <w:rPr>
                <w:rFonts w:ascii="Times New Roman" w:hAnsi="Times New Roman"/>
                <w:sz w:val="24"/>
                <w:szCs w:val="24"/>
              </w:rPr>
              <w:t xml:space="preserve">Crise de 2009 </w:t>
            </w:r>
            <w:r w:rsidR="008D0DCE" w:rsidRPr="00B068DA">
              <w:rPr>
                <w:rFonts w:ascii="Times New Roman" w:hAnsi="Times New Roman"/>
                <w:sz w:val="24"/>
                <w:szCs w:val="24"/>
              </w:rPr>
              <w:t xml:space="preserve">(chute de la demande intérieure avec l’arrêt de l’endettement (USA, RU,…) et chute de la demande extérieure (Allemagne, Japon,…)) </w:t>
            </w:r>
          </w:p>
        </w:tc>
      </w:tr>
    </w:tbl>
    <w:p w:rsidR="008D0DCE" w:rsidRDefault="008D0DCE" w:rsidP="008D0DCE">
      <w:pPr>
        <w:spacing w:after="0" w:line="240" w:lineRule="auto"/>
        <w:jc w:val="both"/>
        <w:rPr>
          <w:rFonts w:ascii="Times New Roman" w:hAnsi="Times New Roman"/>
          <w:sz w:val="24"/>
          <w:szCs w:val="24"/>
        </w:rPr>
      </w:pPr>
    </w:p>
    <w:p w:rsidR="00811D1A" w:rsidRDefault="00811D1A"/>
    <w:sectPr w:rsidR="00811D1A" w:rsidSect="009A20E7">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1B" w:rsidRDefault="00852E1B" w:rsidP="00336D8F">
      <w:pPr>
        <w:spacing w:after="0" w:line="240" w:lineRule="auto"/>
      </w:pPr>
      <w:r>
        <w:separator/>
      </w:r>
    </w:p>
  </w:endnote>
  <w:endnote w:type="continuationSeparator" w:id="0">
    <w:p w:rsidR="00852E1B" w:rsidRDefault="00852E1B" w:rsidP="0033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E7" w:rsidRDefault="00852E1B">
    <w:pPr>
      <w:pStyle w:val="Pieddepage"/>
      <w:jc w:val="right"/>
    </w:pPr>
    <w:r>
      <w:fldChar w:fldCharType="begin"/>
    </w:r>
    <w:r>
      <w:instrText xml:space="preserve"> </w:instrText>
    </w:r>
    <w:r>
      <w:instrText>PAGE</w:instrText>
    </w:r>
    <w:r>
      <w:instrText xml:space="preserve">   \* </w:instrText>
    </w:r>
    <w:r>
      <w:instrText xml:space="preserve">MERGEFORMAT </w:instrText>
    </w:r>
    <w:r>
      <w:fldChar w:fldCharType="separate"/>
    </w:r>
    <w:r w:rsidR="00336D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1B" w:rsidRDefault="00852E1B" w:rsidP="00336D8F">
      <w:pPr>
        <w:spacing w:after="0" w:line="240" w:lineRule="auto"/>
      </w:pPr>
      <w:r>
        <w:separator/>
      </w:r>
    </w:p>
  </w:footnote>
  <w:footnote w:type="continuationSeparator" w:id="0">
    <w:p w:rsidR="00852E1B" w:rsidRDefault="00852E1B" w:rsidP="0033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1F" w:rsidRDefault="00852E1B" w:rsidP="00EF251F">
    <w:pPr>
      <w:pStyle w:val="En-tte"/>
      <w:spacing w:after="120" w:line="240" w:lineRule="auto"/>
      <w:jc w:val="center"/>
      <w:rPr>
        <w:sz w:val="20"/>
        <w:szCs w:val="20"/>
      </w:rPr>
    </w:pPr>
    <w:r w:rsidRPr="00A01B13">
      <w:rPr>
        <w:b/>
        <w:sz w:val="20"/>
        <w:szCs w:val="20"/>
      </w:rPr>
      <w:t>Stage nouveau programme de Terminale ES</w:t>
    </w:r>
    <w:r w:rsidRPr="00A01B13">
      <w:rPr>
        <w:sz w:val="20"/>
        <w:szCs w:val="20"/>
      </w:rPr>
      <w:t xml:space="preserve"> – Académie d’Aix Marseille 12/04/2012 – Boris HERBELOT</w:t>
    </w:r>
  </w:p>
  <w:p w:rsidR="00EF251F" w:rsidRPr="00EF251F" w:rsidRDefault="00852E1B" w:rsidP="00EF251F">
    <w:pPr>
      <w:pStyle w:val="En-tte"/>
      <w:spacing w:after="120" w:line="240" w:lineRule="auto"/>
      <w:jc w:val="center"/>
      <w:rPr>
        <w:i/>
      </w:rPr>
    </w:pPr>
    <w:r w:rsidRPr="004011BF">
      <w:rPr>
        <w:i/>
        <w:sz w:val="20"/>
        <w:szCs w:val="20"/>
      </w:rPr>
      <w:t>(Fiche réalisée à partir de l’atelier animé par M. Sylvain lors du stage national sur le nouveau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CE"/>
    <w:rsid w:val="00336D8F"/>
    <w:rsid w:val="00534FF5"/>
    <w:rsid w:val="00811D1A"/>
    <w:rsid w:val="00852E1B"/>
    <w:rsid w:val="008D0DCE"/>
    <w:rsid w:val="00EA022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CE"/>
    <w:pPr>
      <w:spacing w:after="200" w:line="276" w:lineRule="auto"/>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DCE"/>
    <w:pPr>
      <w:tabs>
        <w:tab w:val="center" w:pos="4536"/>
        <w:tab w:val="right" w:pos="9072"/>
      </w:tabs>
    </w:pPr>
  </w:style>
  <w:style w:type="character" w:customStyle="1" w:styleId="En-tteCar">
    <w:name w:val="En-tête Car"/>
    <w:basedOn w:val="Policepardfaut"/>
    <w:link w:val="En-tte"/>
    <w:uiPriority w:val="99"/>
    <w:rsid w:val="008D0DCE"/>
    <w:rPr>
      <w:rFonts w:ascii="Calibri" w:eastAsia="Calibri" w:hAnsi="Calibri" w:cs="Times New Roman"/>
      <w:lang w:eastAsia="en-US"/>
    </w:rPr>
  </w:style>
  <w:style w:type="paragraph" w:styleId="Pieddepage">
    <w:name w:val="footer"/>
    <w:basedOn w:val="Normal"/>
    <w:link w:val="PieddepageCar"/>
    <w:uiPriority w:val="99"/>
    <w:unhideWhenUsed/>
    <w:rsid w:val="008D0DCE"/>
    <w:pPr>
      <w:tabs>
        <w:tab w:val="center" w:pos="4536"/>
        <w:tab w:val="right" w:pos="9072"/>
      </w:tabs>
    </w:pPr>
  </w:style>
  <w:style w:type="character" w:customStyle="1" w:styleId="PieddepageCar">
    <w:name w:val="Pied de page Car"/>
    <w:basedOn w:val="Policepardfaut"/>
    <w:link w:val="Pieddepage"/>
    <w:uiPriority w:val="99"/>
    <w:rsid w:val="008D0DCE"/>
    <w:rPr>
      <w:rFonts w:ascii="Calibri" w:eastAsia="Calibri" w:hAnsi="Calibri" w:cs="Times New Roman"/>
      <w:lang w:eastAsia="en-US"/>
    </w:rPr>
  </w:style>
  <w:style w:type="character" w:styleId="Lienhypertexte">
    <w:name w:val="Hyperlink"/>
    <w:basedOn w:val="Policepardfaut"/>
    <w:uiPriority w:val="99"/>
    <w:unhideWhenUsed/>
    <w:rsid w:val="008D0DCE"/>
    <w:rPr>
      <w:color w:val="0000FF"/>
      <w:u w:val="single"/>
    </w:rPr>
  </w:style>
  <w:style w:type="paragraph" w:styleId="Textedebulles">
    <w:name w:val="Balloon Text"/>
    <w:basedOn w:val="Normal"/>
    <w:link w:val="TextedebullesCar"/>
    <w:uiPriority w:val="99"/>
    <w:semiHidden/>
    <w:unhideWhenUsed/>
    <w:rsid w:val="008D0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DC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CE"/>
    <w:pPr>
      <w:spacing w:after="200" w:line="276" w:lineRule="auto"/>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DCE"/>
    <w:pPr>
      <w:tabs>
        <w:tab w:val="center" w:pos="4536"/>
        <w:tab w:val="right" w:pos="9072"/>
      </w:tabs>
    </w:pPr>
  </w:style>
  <w:style w:type="character" w:customStyle="1" w:styleId="En-tteCar">
    <w:name w:val="En-tête Car"/>
    <w:basedOn w:val="Policepardfaut"/>
    <w:link w:val="En-tte"/>
    <w:uiPriority w:val="99"/>
    <w:rsid w:val="008D0DCE"/>
    <w:rPr>
      <w:rFonts w:ascii="Calibri" w:eastAsia="Calibri" w:hAnsi="Calibri" w:cs="Times New Roman"/>
      <w:lang w:eastAsia="en-US"/>
    </w:rPr>
  </w:style>
  <w:style w:type="paragraph" w:styleId="Pieddepage">
    <w:name w:val="footer"/>
    <w:basedOn w:val="Normal"/>
    <w:link w:val="PieddepageCar"/>
    <w:uiPriority w:val="99"/>
    <w:unhideWhenUsed/>
    <w:rsid w:val="008D0DCE"/>
    <w:pPr>
      <w:tabs>
        <w:tab w:val="center" w:pos="4536"/>
        <w:tab w:val="right" w:pos="9072"/>
      </w:tabs>
    </w:pPr>
  </w:style>
  <w:style w:type="character" w:customStyle="1" w:styleId="PieddepageCar">
    <w:name w:val="Pied de page Car"/>
    <w:basedOn w:val="Policepardfaut"/>
    <w:link w:val="Pieddepage"/>
    <w:uiPriority w:val="99"/>
    <w:rsid w:val="008D0DCE"/>
    <w:rPr>
      <w:rFonts w:ascii="Calibri" w:eastAsia="Calibri" w:hAnsi="Calibri" w:cs="Times New Roman"/>
      <w:lang w:eastAsia="en-US"/>
    </w:rPr>
  </w:style>
  <w:style w:type="character" w:styleId="Lienhypertexte">
    <w:name w:val="Hyperlink"/>
    <w:basedOn w:val="Policepardfaut"/>
    <w:uiPriority w:val="99"/>
    <w:unhideWhenUsed/>
    <w:rsid w:val="008D0DCE"/>
    <w:rPr>
      <w:color w:val="0000FF"/>
      <w:u w:val="single"/>
    </w:rPr>
  </w:style>
  <w:style w:type="paragraph" w:styleId="Textedebulles">
    <w:name w:val="Balloon Text"/>
    <w:basedOn w:val="Normal"/>
    <w:link w:val="TextedebullesCar"/>
    <w:uiPriority w:val="99"/>
    <w:semiHidden/>
    <w:unhideWhenUsed/>
    <w:rsid w:val="008D0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DC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b.natixis.com/flushdoc.aspx?id=4817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Froissart</dc:creator>
  <cp:lastModifiedBy>Philippe Froissart</cp:lastModifiedBy>
  <cp:revision>2</cp:revision>
  <dcterms:created xsi:type="dcterms:W3CDTF">2012-05-28T05:53:00Z</dcterms:created>
  <dcterms:modified xsi:type="dcterms:W3CDTF">2012-05-28T06:10:00Z</dcterms:modified>
</cp:coreProperties>
</file>