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54" w:rsidRDefault="009B5254" w:rsidP="009B5254">
      <w:pPr>
        <w:pBdr>
          <w:top w:val="single" w:sz="4" w:space="1" w:color="auto"/>
          <w:bottom w:val="single" w:sz="4" w:space="1" w:color="auto"/>
        </w:pBdr>
        <w:spacing w:after="0" w:line="240" w:lineRule="auto"/>
        <w:jc w:val="center"/>
        <w:rPr>
          <w:rFonts w:ascii="Times New Roman" w:hAnsi="Times New Roman"/>
          <w:sz w:val="32"/>
          <w:szCs w:val="32"/>
        </w:rPr>
      </w:pPr>
      <w:r w:rsidRPr="00767C5C">
        <w:rPr>
          <w:rFonts w:ascii="Times New Roman" w:hAnsi="Times New Roman"/>
          <w:b/>
          <w:sz w:val="32"/>
          <w:szCs w:val="32"/>
        </w:rPr>
        <w:t>Stage</w:t>
      </w:r>
      <w:r>
        <w:rPr>
          <w:rFonts w:ascii="Times New Roman" w:hAnsi="Times New Roman"/>
          <w:b/>
          <w:sz w:val="32"/>
          <w:szCs w:val="32"/>
        </w:rPr>
        <w:t xml:space="preserve"> sur le nouveau programme de terminale</w:t>
      </w:r>
      <w:r w:rsidRPr="00767C5C">
        <w:rPr>
          <w:rFonts w:ascii="Times New Roman" w:hAnsi="Times New Roman"/>
          <w:sz w:val="32"/>
          <w:szCs w:val="32"/>
        </w:rPr>
        <w:t xml:space="preserve"> : </w:t>
      </w:r>
    </w:p>
    <w:p w:rsidR="009B5254" w:rsidRPr="00767C5C" w:rsidRDefault="009B5254" w:rsidP="009B5254">
      <w:pPr>
        <w:pBdr>
          <w:top w:val="single" w:sz="4" w:space="1" w:color="auto"/>
          <w:bottom w:val="single" w:sz="4" w:space="1" w:color="auto"/>
        </w:pBdr>
        <w:spacing w:after="0" w:line="240" w:lineRule="auto"/>
        <w:jc w:val="center"/>
        <w:rPr>
          <w:rFonts w:ascii="Times New Roman" w:hAnsi="Times New Roman"/>
          <w:sz w:val="32"/>
          <w:szCs w:val="32"/>
        </w:rPr>
      </w:pPr>
      <w:r>
        <w:rPr>
          <w:rFonts w:ascii="Times New Roman" w:hAnsi="Times New Roman"/>
          <w:sz w:val="32"/>
          <w:szCs w:val="32"/>
        </w:rPr>
        <w:t>Comment expliquer l’instabilité de la croissance ?</w:t>
      </w:r>
    </w:p>
    <w:p w:rsidR="009B5254" w:rsidRDefault="009B5254" w:rsidP="009B5254">
      <w:pPr>
        <w:spacing w:after="0" w:line="240" w:lineRule="auto"/>
        <w:jc w:val="both"/>
        <w:rPr>
          <w:rFonts w:ascii="Times New Roman" w:hAnsi="Times New Roman"/>
          <w:sz w:val="24"/>
          <w:szCs w:val="24"/>
        </w:rPr>
      </w:pPr>
    </w:p>
    <w:p w:rsidR="009B5254" w:rsidRDefault="009B5254" w:rsidP="009B5254">
      <w:pPr>
        <w:spacing w:after="0" w:line="240" w:lineRule="auto"/>
        <w:jc w:val="both"/>
        <w:rPr>
          <w:rFonts w:ascii="Times New Roman" w:hAnsi="Times New Roman"/>
          <w:b/>
          <w:sz w:val="28"/>
          <w:szCs w:val="28"/>
        </w:rPr>
      </w:pPr>
      <w:r w:rsidRPr="00104442">
        <w:rPr>
          <w:rFonts w:ascii="Times New Roman" w:hAnsi="Times New Roman"/>
          <w:b/>
          <w:sz w:val="28"/>
          <w:szCs w:val="28"/>
        </w:rPr>
        <w:t>Indications complémentaires :</w:t>
      </w:r>
    </w:p>
    <w:p w:rsidR="009B5254" w:rsidRPr="00104442" w:rsidRDefault="009B5254" w:rsidP="009B5254">
      <w:pPr>
        <w:spacing w:after="0" w:line="240" w:lineRule="auto"/>
        <w:jc w:val="both"/>
        <w:rPr>
          <w:rFonts w:ascii="Times New Roman" w:hAnsi="Times New Roman"/>
          <w:b/>
          <w:sz w:val="10"/>
          <w:szCs w:val="10"/>
        </w:rPr>
      </w:pP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231"/>
        <w:gridCol w:w="1954"/>
        <w:gridCol w:w="5021"/>
      </w:tblGrid>
      <w:tr w:rsidR="009B5254" w:rsidRPr="00EF251F" w:rsidTr="00BE0F73">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tcPr>
          <w:p w:rsidR="009B5254" w:rsidRPr="00EF251F" w:rsidRDefault="009B5254" w:rsidP="00BE0F73">
            <w:pPr>
              <w:spacing w:after="0" w:line="240" w:lineRule="auto"/>
              <w:rPr>
                <w:rFonts w:ascii="Arial" w:eastAsia="Times New Roman" w:hAnsi="Arial" w:cs="Arial"/>
                <w:sz w:val="18"/>
                <w:szCs w:val="18"/>
                <w:lang w:eastAsia="fr-FR"/>
              </w:rPr>
            </w:pPr>
            <w:r w:rsidRPr="00EF251F">
              <w:rPr>
                <w:rFonts w:ascii="Arial" w:eastAsia="Times New Roman" w:hAnsi="Arial" w:cs="Arial"/>
                <w:b/>
                <w:bCs/>
                <w:sz w:val="18"/>
                <w:szCs w:val="18"/>
                <w:lang w:eastAsia="fr-FR"/>
              </w:rPr>
              <w:t>1.2 Comment expliquer l'instabilité de la croissance ?</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tcPr>
          <w:p w:rsidR="009B5254" w:rsidRPr="00EF251F" w:rsidRDefault="009B5254" w:rsidP="00BE0F73">
            <w:pPr>
              <w:spacing w:after="0" w:line="240" w:lineRule="auto"/>
              <w:rPr>
                <w:rFonts w:ascii="Arial" w:eastAsia="Times New Roman" w:hAnsi="Arial" w:cs="Arial"/>
                <w:sz w:val="18"/>
                <w:szCs w:val="18"/>
                <w:lang w:eastAsia="fr-FR"/>
              </w:rPr>
            </w:pPr>
            <w:r w:rsidRPr="00EF251F">
              <w:rPr>
                <w:rFonts w:ascii="Arial" w:eastAsia="Times New Roman" w:hAnsi="Arial" w:cs="Arial"/>
                <w:sz w:val="18"/>
                <w:szCs w:val="18"/>
                <w:lang w:eastAsia="fr-FR"/>
              </w:rPr>
              <w:t>Fluctuations économiques, crise économique, désinflation, croissance potentielle, dépression, déflation.</w:t>
            </w:r>
          </w:p>
        </w:tc>
        <w:tc>
          <w:tcPr>
            <w:tcW w:w="2700" w:type="pct"/>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tcPr>
          <w:p w:rsidR="009B5254" w:rsidRPr="00EF251F" w:rsidRDefault="009B5254" w:rsidP="00BE0F73">
            <w:pPr>
              <w:spacing w:after="0" w:line="240" w:lineRule="auto"/>
              <w:rPr>
                <w:rFonts w:ascii="Arial" w:eastAsia="Times New Roman" w:hAnsi="Arial" w:cs="Arial"/>
                <w:sz w:val="18"/>
                <w:szCs w:val="18"/>
                <w:lang w:eastAsia="fr-FR"/>
              </w:rPr>
            </w:pPr>
            <w:r w:rsidRPr="00EF251F">
              <w:rPr>
                <w:rFonts w:ascii="Arial" w:eastAsia="Times New Roman" w:hAnsi="Arial" w:cs="Arial"/>
                <w:sz w:val="18"/>
                <w:szCs w:val="18"/>
                <w:lang w:eastAsia="fr-FR"/>
              </w:rPr>
              <w:t>L'observation des fluctuations économiques permettra de mettre l'accent sur la variabilité de la croissance et sur l'existence de périodes de crise. On présentera les idées directrices des principaux schémas explicatifs des fluctuations (chocs d'offre et de demande, cycle du crédit), en insistant notamment sur les liens avec la demande globale. En faisant référence au programme de première, on rappellera le rôle des politiques macro-économiques (nationales et européennes) dans la gestion des fluctuations conjoncturelles.</w:t>
            </w:r>
            <w:r w:rsidRPr="00EF251F">
              <w:rPr>
                <w:rFonts w:ascii="Arial" w:eastAsia="Times New Roman" w:hAnsi="Arial" w:cs="Arial"/>
                <w:sz w:val="18"/>
                <w:szCs w:val="18"/>
                <w:lang w:eastAsia="fr-FR"/>
              </w:rPr>
              <w:br/>
              <w:t>On analysera les mécanismes cumulatifs susceptibles d'engendrer déflation et dépression économique et leurs conséquences sur le chômage de masse.</w:t>
            </w:r>
            <w:r w:rsidRPr="00EF251F">
              <w:rPr>
                <w:rFonts w:ascii="Arial" w:eastAsia="Times New Roman" w:hAnsi="Arial" w:cs="Arial"/>
                <w:sz w:val="18"/>
                <w:szCs w:val="18"/>
                <w:lang w:eastAsia="fr-FR"/>
              </w:rPr>
              <w:br/>
            </w:r>
            <w:r w:rsidRPr="00EF251F">
              <w:rPr>
                <w:rFonts w:ascii="Arial" w:eastAsia="Times New Roman" w:hAnsi="Arial" w:cs="Arial"/>
                <w:b/>
                <w:bCs/>
                <w:sz w:val="18"/>
                <w:szCs w:val="18"/>
                <w:lang w:eastAsia="fr-FR"/>
              </w:rPr>
              <w:t>Acquis de première :</w:t>
            </w:r>
            <w:r w:rsidRPr="00EF251F">
              <w:rPr>
                <w:rFonts w:ascii="Arial" w:eastAsia="Times New Roman" w:hAnsi="Arial" w:cs="Arial"/>
                <w:sz w:val="18"/>
                <w:szCs w:val="18"/>
                <w:lang w:eastAsia="fr-FR"/>
              </w:rPr>
              <w:t xml:space="preserve"> inflation, politique monétaire, politique budgétaire, politique conjoncturelle, chômage, demande globale.</w:t>
            </w:r>
          </w:p>
        </w:tc>
      </w:tr>
    </w:tbl>
    <w:p w:rsidR="009B5254" w:rsidRPr="00104442" w:rsidRDefault="009B5254" w:rsidP="009B5254">
      <w:pPr>
        <w:spacing w:after="0" w:line="240" w:lineRule="auto"/>
        <w:jc w:val="both"/>
        <w:rPr>
          <w:rFonts w:ascii="Times New Roman" w:hAnsi="Times New Roman"/>
          <w:sz w:val="10"/>
          <w:szCs w:val="10"/>
        </w:rPr>
      </w:pPr>
    </w:p>
    <w:p w:rsidR="009B5254" w:rsidRPr="00104442" w:rsidRDefault="009B5254" w:rsidP="009B5254">
      <w:pPr>
        <w:spacing w:after="0" w:line="240" w:lineRule="auto"/>
        <w:jc w:val="both"/>
        <w:rPr>
          <w:rFonts w:ascii="Times New Roman" w:hAnsi="Times New Roman"/>
          <w:b/>
          <w:sz w:val="28"/>
          <w:szCs w:val="28"/>
        </w:rPr>
      </w:pPr>
      <w:r w:rsidRPr="00104442">
        <w:rPr>
          <w:rFonts w:ascii="Times New Roman" w:hAnsi="Times New Roman"/>
          <w:b/>
          <w:sz w:val="28"/>
          <w:szCs w:val="28"/>
        </w:rPr>
        <w:t xml:space="preserve">Proposition d’interprétation du programme : </w:t>
      </w:r>
    </w:p>
    <w:p w:rsidR="009B5254" w:rsidRPr="00104442" w:rsidRDefault="009B5254" w:rsidP="009B5254">
      <w:pPr>
        <w:numPr>
          <w:ilvl w:val="0"/>
          <w:numId w:val="1"/>
        </w:numPr>
        <w:spacing w:before="120" w:after="120" w:line="240" w:lineRule="auto"/>
        <w:ind w:left="1077"/>
        <w:jc w:val="both"/>
        <w:rPr>
          <w:rFonts w:ascii="Times New Roman" w:hAnsi="Times New Roman"/>
          <w:smallCaps/>
          <w:sz w:val="24"/>
          <w:szCs w:val="24"/>
        </w:rPr>
      </w:pPr>
      <w:smartTag w:uri="urn:schemas-microsoft-com:office:smarttags" w:element="PersonName">
        <w:smartTagPr>
          <w:attr w:name="ProductID" w:val="LA CROISSANCE ECONOMIQUE"/>
        </w:smartTagPr>
        <w:r w:rsidRPr="00104442">
          <w:rPr>
            <w:rFonts w:ascii="Times New Roman" w:hAnsi="Times New Roman"/>
            <w:smallCaps/>
            <w:sz w:val="24"/>
            <w:szCs w:val="24"/>
          </w:rPr>
          <w:t>La croissance économique</w:t>
        </w:r>
      </w:smartTag>
      <w:r w:rsidRPr="00104442">
        <w:rPr>
          <w:rFonts w:ascii="Times New Roman" w:hAnsi="Times New Roman"/>
          <w:smallCaps/>
          <w:sz w:val="24"/>
          <w:szCs w:val="24"/>
        </w:rPr>
        <w:t xml:space="preserve"> est irrégulière</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Qu’est-ce que la croissance potentielle ?</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Croissance potentielle et croissance effective</w:t>
      </w:r>
    </w:p>
    <w:p w:rsidR="009B5254" w:rsidRPr="00104442" w:rsidRDefault="009B5254" w:rsidP="009B5254">
      <w:pPr>
        <w:numPr>
          <w:ilvl w:val="1"/>
          <w:numId w:val="1"/>
        </w:numPr>
        <w:spacing w:after="60" w:line="240" w:lineRule="auto"/>
        <w:ind w:left="1434" w:hanging="357"/>
        <w:jc w:val="both"/>
        <w:rPr>
          <w:rFonts w:ascii="Times New Roman" w:hAnsi="Times New Roman"/>
          <w:sz w:val="20"/>
          <w:szCs w:val="20"/>
        </w:rPr>
      </w:pPr>
      <w:r w:rsidRPr="00104442">
        <w:rPr>
          <w:rFonts w:ascii="Times New Roman" w:hAnsi="Times New Roman"/>
          <w:b/>
          <w:sz w:val="20"/>
          <w:szCs w:val="20"/>
        </w:rPr>
        <w:t>Crise, récession, dépression</w:t>
      </w:r>
    </w:p>
    <w:p w:rsidR="009B5254" w:rsidRPr="00104442" w:rsidRDefault="009B5254" w:rsidP="009B5254">
      <w:pPr>
        <w:numPr>
          <w:ilvl w:val="0"/>
          <w:numId w:val="1"/>
        </w:numPr>
        <w:spacing w:before="120" w:after="120" w:line="240" w:lineRule="auto"/>
        <w:ind w:left="1077"/>
        <w:jc w:val="both"/>
        <w:rPr>
          <w:rFonts w:ascii="Times New Roman" w:hAnsi="Times New Roman"/>
          <w:smallCaps/>
          <w:sz w:val="24"/>
          <w:szCs w:val="24"/>
        </w:rPr>
      </w:pPr>
      <w:r w:rsidRPr="00104442">
        <w:rPr>
          <w:rFonts w:ascii="Times New Roman" w:hAnsi="Times New Roman"/>
          <w:smallCaps/>
          <w:sz w:val="24"/>
          <w:szCs w:val="24"/>
        </w:rPr>
        <w:t>Comment expliquer les fluctuations conjoncturelles ?</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Les chocs d’offre</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Les chocs de demande</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Le cycle du crédit</w:t>
      </w:r>
    </w:p>
    <w:p w:rsidR="009B5254" w:rsidRPr="00104442" w:rsidRDefault="009B5254" w:rsidP="009B5254">
      <w:pPr>
        <w:numPr>
          <w:ilvl w:val="0"/>
          <w:numId w:val="1"/>
        </w:numPr>
        <w:spacing w:before="120" w:after="120" w:line="240" w:lineRule="auto"/>
        <w:ind w:left="1077"/>
        <w:jc w:val="both"/>
        <w:rPr>
          <w:rFonts w:ascii="Times New Roman" w:hAnsi="Times New Roman"/>
          <w:smallCaps/>
          <w:sz w:val="24"/>
          <w:szCs w:val="24"/>
        </w:rPr>
      </w:pPr>
      <w:r w:rsidRPr="00104442">
        <w:rPr>
          <w:rFonts w:ascii="Times New Roman" w:hAnsi="Times New Roman"/>
          <w:smallCaps/>
          <w:sz w:val="24"/>
          <w:szCs w:val="24"/>
        </w:rPr>
        <w:t>Les pouvoirs publics peuvent-ils limiter les fluctuations économiques ?</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Pourquoi les pouvoirs publics devraient-ils  intervenir ?</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Comment les pouvoirs publics peuvent-ils intervenir ?</w:t>
      </w:r>
    </w:p>
    <w:p w:rsidR="009B5254" w:rsidRPr="00104442" w:rsidRDefault="009B5254" w:rsidP="009B5254">
      <w:pPr>
        <w:numPr>
          <w:ilvl w:val="1"/>
          <w:numId w:val="1"/>
        </w:numPr>
        <w:spacing w:after="60" w:line="240" w:lineRule="auto"/>
        <w:ind w:left="1434" w:hanging="357"/>
        <w:jc w:val="both"/>
        <w:rPr>
          <w:rFonts w:ascii="Times New Roman" w:hAnsi="Times New Roman"/>
          <w:b/>
          <w:sz w:val="20"/>
          <w:szCs w:val="20"/>
        </w:rPr>
      </w:pPr>
      <w:r w:rsidRPr="00104442">
        <w:rPr>
          <w:rFonts w:ascii="Times New Roman" w:hAnsi="Times New Roman"/>
          <w:b/>
          <w:sz w:val="20"/>
          <w:szCs w:val="20"/>
        </w:rPr>
        <w:t>Quelles sont les limites de l’intervention des pouvoirs publics ?</w:t>
      </w:r>
    </w:p>
    <w:p w:rsidR="009B5254" w:rsidRPr="00EF251F" w:rsidRDefault="009B5254" w:rsidP="009B5254">
      <w:pPr>
        <w:spacing w:after="0" w:line="240" w:lineRule="auto"/>
        <w:jc w:val="both"/>
        <w:rPr>
          <w:rFonts w:ascii="Times New Roman" w:hAnsi="Times New Roman"/>
          <w:sz w:val="10"/>
          <w:szCs w:val="10"/>
        </w:rPr>
      </w:pPr>
    </w:p>
    <w:p w:rsidR="009B5254" w:rsidRPr="00104442" w:rsidRDefault="009B5254" w:rsidP="009B5254">
      <w:pPr>
        <w:spacing w:after="0" w:line="240" w:lineRule="auto"/>
        <w:jc w:val="both"/>
        <w:rPr>
          <w:rFonts w:ascii="Times New Roman" w:hAnsi="Times New Roman"/>
          <w:b/>
          <w:sz w:val="28"/>
          <w:szCs w:val="28"/>
        </w:rPr>
      </w:pPr>
      <w:r w:rsidRPr="00104442">
        <w:rPr>
          <w:rFonts w:ascii="Times New Roman" w:hAnsi="Times New Roman"/>
          <w:b/>
          <w:sz w:val="28"/>
          <w:szCs w:val="28"/>
        </w:rPr>
        <w:t>Quelques références de bibliographiques :</w:t>
      </w:r>
    </w:p>
    <w:p w:rsidR="009B5254" w:rsidRPr="0049573E" w:rsidRDefault="009B5254" w:rsidP="009B5254">
      <w:pPr>
        <w:spacing w:before="60" w:after="60" w:line="240" w:lineRule="auto"/>
        <w:jc w:val="both"/>
        <w:rPr>
          <w:rFonts w:ascii="Times New Roman" w:hAnsi="Times New Roman"/>
          <w:sz w:val="10"/>
          <w:szCs w:val="10"/>
        </w:rPr>
      </w:pPr>
    </w:p>
    <w:p w:rsidR="009B5254" w:rsidRPr="00104442" w:rsidRDefault="009B5254" w:rsidP="009B5254">
      <w:pPr>
        <w:spacing w:before="60" w:after="60" w:line="240" w:lineRule="auto"/>
        <w:jc w:val="both"/>
        <w:rPr>
          <w:rFonts w:ascii="Times New Roman" w:hAnsi="Times New Roman"/>
          <w:sz w:val="20"/>
          <w:szCs w:val="20"/>
        </w:rPr>
      </w:pPr>
      <w:r w:rsidRPr="00104442">
        <w:rPr>
          <w:rFonts w:ascii="Times New Roman" w:hAnsi="Times New Roman"/>
          <w:sz w:val="20"/>
          <w:szCs w:val="20"/>
        </w:rPr>
        <w:t>Les manuels d’Analyse Economique et Historique des Sociétés Contemporaines (AEHSC) des classes préparatoires ECE comportent un chapitre consacré aux fluctuations économiques, ce qui permet de se replonger rapidement dans les savoirs de référence. Par exemple :</w:t>
      </w:r>
    </w:p>
    <w:p w:rsidR="009B5254" w:rsidRPr="00104442" w:rsidRDefault="009B5254" w:rsidP="009B5254">
      <w:pPr>
        <w:spacing w:before="60" w:after="60" w:line="240" w:lineRule="auto"/>
        <w:ind w:left="708"/>
        <w:jc w:val="both"/>
        <w:rPr>
          <w:rFonts w:ascii="Times New Roman" w:hAnsi="Times New Roman"/>
          <w:sz w:val="20"/>
          <w:szCs w:val="20"/>
        </w:rPr>
      </w:pPr>
      <w:r w:rsidRPr="00104442">
        <w:rPr>
          <w:rFonts w:ascii="Times New Roman" w:hAnsi="Times New Roman"/>
          <w:sz w:val="20"/>
          <w:szCs w:val="20"/>
        </w:rPr>
        <w:t xml:space="preserve">VOISIN Michel, « Chapitre 4 : Fluctuations et crises », BEITONE Alain (sous la direction de), </w:t>
      </w:r>
      <w:r w:rsidRPr="00104442">
        <w:rPr>
          <w:rFonts w:ascii="Times New Roman" w:hAnsi="Times New Roman"/>
          <w:i/>
          <w:sz w:val="20"/>
          <w:szCs w:val="20"/>
        </w:rPr>
        <w:t>Analyse Economique et Historique des Sociétés Contemporaines</w:t>
      </w:r>
      <w:r w:rsidRPr="00104442">
        <w:rPr>
          <w:rFonts w:ascii="Times New Roman" w:hAnsi="Times New Roman"/>
          <w:sz w:val="20"/>
          <w:szCs w:val="20"/>
        </w:rPr>
        <w:t>, Armand Colin, 2007.</w:t>
      </w:r>
    </w:p>
    <w:p w:rsidR="009B5254" w:rsidRPr="00104442" w:rsidRDefault="009B5254" w:rsidP="009B5254">
      <w:pPr>
        <w:spacing w:before="60" w:after="60" w:line="240" w:lineRule="auto"/>
        <w:ind w:left="708"/>
        <w:jc w:val="both"/>
        <w:rPr>
          <w:rFonts w:ascii="Times New Roman" w:hAnsi="Times New Roman"/>
          <w:sz w:val="20"/>
          <w:szCs w:val="20"/>
        </w:rPr>
      </w:pPr>
      <w:r w:rsidRPr="00104442">
        <w:rPr>
          <w:rFonts w:ascii="Times New Roman" w:hAnsi="Times New Roman"/>
          <w:sz w:val="20"/>
          <w:szCs w:val="20"/>
        </w:rPr>
        <w:t xml:space="preserve">CORPRON Pierre André, « Chapitre 4 : Fluctuations et crises », MONTOUSSE Marc (sous la direction de), </w:t>
      </w:r>
      <w:r w:rsidRPr="00104442">
        <w:rPr>
          <w:rFonts w:ascii="Times New Roman" w:hAnsi="Times New Roman"/>
          <w:i/>
          <w:sz w:val="20"/>
          <w:szCs w:val="20"/>
        </w:rPr>
        <w:t>Economie et Histoire des Sociétés Contemporaines</w:t>
      </w:r>
      <w:r w:rsidRPr="00104442">
        <w:rPr>
          <w:rFonts w:ascii="Times New Roman" w:hAnsi="Times New Roman"/>
          <w:sz w:val="20"/>
          <w:szCs w:val="20"/>
        </w:rPr>
        <w:t>, Bréal, 2001.</w:t>
      </w:r>
    </w:p>
    <w:p w:rsidR="009B5254" w:rsidRPr="00104442" w:rsidRDefault="009B5254" w:rsidP="009B5254">
      <w:pPr>
        <w:spacing w:before="60" w:after="60" w:line="240" w:lineRule="auto"/>
        <w:jc w:val="both"/>
        <w:rPr>
          <w:rFonts w:ascii="Times New Roman" w:hAnsi="Times New Roman"/>
          <w:sz w:val="20"/>
          <w:szCs w:val="20"/>
        </w:rPr>
      </w:pPr>
      <w:r w:rsidRPr="00104442">
        <w:rPr>
          <w:rFonts w:ascii="Times New Roman" w:hAnsi="Times New Roman"/>
          <w:sz w:val="20"/>
          <w:szCs w:val="20"/>
        </w:rPr>
        <w:t xml:space="preserve">MUSOLINO Michel, </w:t>
      </w:r>
      <w:r w:rsidRPr="00104442">
        <w:rPr>
          <w:rFonts w:ascii="Times New Roman" w:hAnsi="Times New Roman"/>
          <w:i/>
          <w:sz w:val="20"/>
          <w:szCs w:val="20"/>
        </w:rPr>
        <w:t>Fluctuations et crises économiques</w:t>
      </w:r>
      <w:r w:rsidRPr="00104442">
        <w:rPr>
          <w:rFonts w:ascii="Times New Roman" w:hAnsi="Times New Roman"/>
          <w:sz w:val="20"/>
          <w:szCs w:val="20"/>
        </w:rPr>
        <w:t>, Ellipse, 2011.</w:t>
      </w:r>
    </w:p>
    <w:p w:rsidR="009B5254" w:rsidRPr="00104442" w:rsidRDefault="009B5254" w:rsidP="009B5254">
      <w:pPr>
        <w:spacing w:before="60" w:after="60" w:line="240" w:lineRule="auto"/>
        <w:jc w:val="both"/>
        <w:rPr>
          <w:rFonts w:ascii="Times New Roman" w:hAnsi="Times New Roman"/>
          <w:sz w:val="20"/>
          <w:szCs w:val="20"/>
        </w:rPr>
      </w:pPr>
      <w:r w:rsidRPr="00104442">
        <w:rPr>
          <w:rFonts w:ascii="Times New Roman" w:hAnsi="Times New Roman"/>
          <w:sz w:val="20"/>
          <w:szCs w:val="20"/>
        </w:rPr>
        <w:t xml:space="preserve">MARCEL Bruno, TAÏEB Jacques, </w:t>
      </w:r>
      <w:r w:rsidRPr="00104442">
        <w:rPr>
          <w:rFonts w:ascii="Times New Roman" w:hAnsi="Times New Roman"/>
          <w:i/>
          <w:sz w:val="20"/>
          <w:szCs w:val="20"/>
        </w:rPr>
        <w:t>Les grandes crises, 1873, 929, 1973, 2008 ?</w:t>
      </w:r>
      <w:r w:rsidRPr="00104442">
        <w:rPr>
          <w:rFonts w:ascii="Times New Roman" w:hAnsi="Times New Roman"/>
          <w:sz w:val="20"/>
          <w:szCs w:val="20"/>
        </w:rPr>
        <w:t>, Armand Colin, 2010.</w:t>
      </w:r>
    </w:p>
    <w:p w:rsidR="009B5254" w:rsidRPr="00104442" w:rsidRDefault="009B5254" w:rsidP="009B5254">
      <w:pPr>
        <w:spacing w:before="60" w:after="60" w:line="240" w:lineRule="auto"/>
        <w:jc w:val="both"/>
        <w:rPr>
          <w:rFonts w:ascii="Times New Roman" w:hAnsi="Times New Roman"/>
          <w:sz w:val="20"/>
          <w:szCs w:val="20"/>
        </w:rPr>
      </w:pPr>
      <w:r w:rsidRPr="00104442">
        <w:rPr>
          <w:rFonts w:ascii="Times New Roman" w:hAnsi="Times New Roman"/>
          <w:sz w:val="20"/>
          <w:szCs w:val="20"/>
        </w:rPr>
        <w:t xml:space="preserve">GILLES Philippe, </w:t>
      </w:r>
      <w:r w:rsidRPr="00104442">
        <w:rPr>
          <w:rFonts w:ascii="Times New Roman" w:hAnsi="Times New Roman"/>
          <w:i/>
          <w:sz w:val="20"/>
          <w:szCs w:val="20"/>
        </w:rPr>
        <w:t>Histoire des crises et des cycles économiques. Des crises industrielles du 19</w:t>
      </w:r>
      <w:r w:rsidRPr="00104442">
        <w:rPr>
          <w:rFonts w:ascii="Times New Roman" w:hAnsi="Times New Roman"/>
          <w:i/>
          <w:sz w:val="20"/>
          <w:szCs w:val="20"/>
          <w:vertAlign w:val="superscript"/>
        </w:rPr>
        <w:t>ème</w:t>
      </w:r>
      <w:r w:rsidRPr="00104442">
        <w:rPr>
          <w:rFonts w:ascii="Times New Roman" w:hAnsi="Times New Roman"/>
          <w:i/>
          <w:sz w:val="20"/>
          <w:szCs w:val="20"/>
        </w:rPr>
        <w:t xml:space="preserve"> siècle aux crises actuelles</w:t>
      </w:r>
      <w:r w:rsidRPr="00104442">
        <w:rPr>
          <w:rFonts w:ascii="Times New Roman" w:hAnsi="Times New Roman"/>
          <w:sz w:val="20"/>
          <w:szCs w:val="20"/>
        </w:rPr>
        <w:t>, Armand Colin, Collection U, 2009.</w:t>
      </w:r>
    </w:p>
    <w:p w:rsidR="009B5254" w:rsidRDefault="009B5254" w:rsidP="009B5254">
      <w:pPr>
        <w:spacing w:before="60" w:after="60" w:line="240" w:lineRule="auto"/>
        <w:jc w:val="both"/>
        <w:rPr>
          <w:rFonts w:ascii="Times New Roman" w:hAnsi="Times New Roman"/>
          <w:sz w:val="24"/>
          <w:szCs w:val="24"/>
        </w:rPr>
      </w:pPr>
      <w:r w:rsidRPr="00104442">
        <w:rPr>
          <w:rFonts w:ascii="Times New Roman" w:hAnsi="Times New Roman"/>
          <w:sz w:val="20"/>
          <w:szCs w:val="20"/>
        </w:rPr>
        <w:t xml:space="preserve">ARTUS Patrick, « Croissance potentielle et croissance effective », </w:t>
      </w:r>
      <w:r w:rsidRPr="00104442">
        <w:rPr>
          <w:rFonts w:ascii="Times New Roman" w:hAnsi="Times New Roman"/>
          <w:i/>
          <w:sz w:val="20"/>
          <w:szCs w:val="20"/>
        </w:rPr>
        <w:t>Flash Economie</w:t>
      </w:r>
      <w:r w:rsidRPr="00104442">
        <w:rPr>
          <w:rFonts w:ascii="Times New Roman" w:hAnsi="Times New Roman"/>
          <w:sz w:val="20"/>
          <w:szCs w:val="20"/>
        </w:rPr>
        <w:t xml:space="preserve">, n°524, 19 novembre 2008, disponible à l’adresse suivante : </w:t>
      </w:r>
      <w:hyperlink r:id="rId6" w:history="1">
        <w:r w:rsidRPr="00104442">
          <w:rPr>
            <w:rStyle w:val="Lienhypertexte"/>
            <w:rFonts w:ascii="Times New Roman" w:hAnsi="Times New Roman"/>
            <w:sz w:val="20"/>
            <w:szCs w:val="20"/>
          </w:rPr>
          <w:t>http://cib.natixis.com/flushdoc.aspx?id=43494</w:t>
        </w:r>
      </w:hyperlink>
      <w:r w:rsidRPr="00104442">
        <w:rPr>
          <w:rFonts w:ascii="Times New Roman" w:hAnsi="Times New Roman"/>
          <w:sz w:val="20"/>
          <w:szCs w:val="20"/>
        </w:rPr>
        <w:t xml:space="preserve"> </w:t>
      </w:r>
    </w:p>
    <w:p w:rsidR="00811D1A" w:rsidRDefault="00811D1A">
      <w:bookmarkStart w:id="0" w:name="_GoBack"/>
      <w:bookmarkEnd w:id="0"/>
    </w:p>
    <w:sectPr w:rsidR="00811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259DF"/>
    <w:multiLevelType w:val="hybridMultilevel"/>
    <w:tmpl w:val="51744AA4"/>
    <w:lvl w:ilvl="0" w:tplc="E3D4DFB6">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54"/>
    <w:rsid w:val="00811D1A"/>
    <w:rsid w:val="009B5254"/>
    <w:rsid w:val="00EA02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54"/>
    <w:pPr>
      <w:spacing w:after="200" w:line="276"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5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54"/>
    <w:pPr>
      <w:spacing w:after="200" w:line="276"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b.natixis.com/flushdoc.aspx?id=434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Froissart</dc:creator>
  <cp:lastModifiedBy>Philippe Froissart</cp:lastModifiedBy>
  <cp:revision>1</cp:revision>
  <dcterms:created xsi:type="dcterms:W3CDTF">2012-05-28T05:35:00Z</dcterms:created>
  <dcterms:modified xsi:type="dcterms:W3CDTF">2012-05-28T05:37:00Z</dcterms:modified>
</cp:coreProperties>
</file>