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D" w:rsidRPr="00D70BD1" w:rsidRDefault="008220CD" w:rsidP="008220CD">
      <w:pPr>
        <w:spacing w:after="0" w:line="240" w:lineRule="auto"/>
        <w:jc w:val="right"/>
        <w:rPr>
          <w:rFonts w:ascii="Century Gothic" w:hAnsi="Century Gothic"/>
          <w:b/>
          <w:color w:val="0070C0"/>
          <w:sz w:val="32"/>
          <w:szCs w:val="32"/>
        </w:rPr>
      </w:pPr>
      <w:r>
        <w:rPr>
          <w:rFonts w:ascii="Century Gothic" w:hAnsi="Century Gothic"/>
          <w:b/>
          <w:noProof/>
          <w:color w:val="0070C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-272415</wp:posOffset>
                </wp:positionV>
                <wp:extent cx="3381375" cy="6572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CD" w:rsidRPr="008220CD" w:rsidRDefault="008220CD" w:rsidP="008220CD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220CD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Agir sur le monde</w:t>
                            </w:r>
                          </w:p>
                          <w:p w:rsidR="008220CD" w:rsidRPr="008220CD" w:rsidRDefault="008220CD" w:rsidP="008220CD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220CD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Agir dans la cité : individu et pouvoir</w:t>
                            </w:r>
                          </w:p>
                          <w:p w:rsidR="008220CD" w:rsidRDefault="008220CD" w:rsidP="00822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65pt;margin-top:-21.45pt;width:26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">
                <v:textbox>
                  <w:txbxContent>
                    <w:p w:rsidR="008220CD" w:rsidRPr="008220CD" w:rsidRDefault="008220CD" w:rsidP="008220CD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220CD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Agir sur le monde</w:t>
                      </w:r>
                    </w:p>
                    <w:p w:rsidR="008220CD" w:rsidRPr="008220CD" w:rsidRDefault="008220CD" w:rsidP="008220CD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220CD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Agir dans la cité : individu et pouvoir</w:t>
                      </w:r>
                    </w:p>
                    <w:p w:rsidR="008220CD" w:rsidRDefault="008220CD" w:rsidP="008220CD"/>
                  </w:txbxContent>
                </v:textbox>
              </v:shape>
            </w:pict>
          </mc:Fallback>
        </mc:AlternateContent>
      </w:r>
      <w:r w:rsidRPr="00D70BD1">
        <w:rPr>
          <w:rFonts w:ascii="Century Gothic" w:hAnsi="Century Gothic"/>
          <w:b/>
          <w:color w:val="0070C0"/>
          <w:sz w:val="32"/>
          <w:szCs w:val="32"/>
        </w:rPr>
        <w:t xml:space="preserve"> Antigone</w:t>
      </w:r>
      <w:r>
        <w:rPr>
          <w:rFonts w:ascii="Century Gothic" w:hAnsi="Century Gothic"/>
          <w:b/>
          <w:color w:val="0070C0"/>
          <w:sz w:val="32"/>
          <w:szCs w:val="32"/>
        </w:rPr>
        <w:t>, celle qui dit non</w:t>
      </w:r>
    </w:p>
    <w:p w:rsidR="008220CD" w:rsidRPr="00BB29F5" w:rsidRDefault="00F01DEA" w:rsidP="008220CD">
      <w:pPr>
        <w:spacing w:after="0" w:line="240" w:lineRule="auto"/>
        <w:jc w:val="right"/>
        <w:rPr>
          <w:rFonts w:ascii="Century Gothic" w:hAnsi="Century Gothic"/>
          <w:color w:val="0070C0"/>
          <w:sz w:val="32"/>
          <w:szCs w:val="32"/>
        </w:rPr>
      </w:pPr>
      <w:r>
        <w:rPr>
          <w:rFonts w:ascii="Century Gothic" w:hAnsi="Century Gothic"/>
          <w:color w:val="0070C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220CD" w:rsidRDefault="008220CD" w:rsidP="008220CD">
      <w:pPr>
        <w:pStyle w:val="Default"/>
        <w:rPr>
          <w:rFonts w:ascii="Century Gothic" w:hAnsi="Century Gothic"/>
          <w:b/>
        </w:rPr>
      </w:pPr>
    </w:p>
    <w:p w:rsidR="008220CD" w:rsidRPr="00BF28F4" w:rsidRDefault="008220CD" w:rsidP="00BF28F4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 w:rsidRPr="00BF28F4">
        <w:rPr>
          <w:rFonts w:ascii="Century Gothic" w:hAnsi="Century Gothic"/>
          <w:b/>
          <w:sz w:val="24"/>
          <w:szCs w:val="24"/>
        </w:rPr>
        <w:t>Séquence proposée par Virginie Joubrel, lycée professionnel Ferdinand Revoul, Valréas, octobre 2016.</w:t>
      </w:r>
    </w:p>
    <w:bookmarkEnd w:id="0"/>
    <w:p w:rsidR="008220CD" w:rsidRDefault="008220CD" w:rsidP="008220CD">
      <w:pPr>
        <w:pStyle w:val="Default"/>
        <w:jc w:val="right"/>
        <w:rPr>
          <w:rFonts w:ascii="Century Gothic" w:hAnsi="Century Gothic"/>
          <w:b/>
        </w:rPr>
      </w:pPr>
      <w:r w:rsidRPr="005F2DA6">
        <w:rPr>
          <w:rFonts w:ascii="Century Gothic" w:hAnsi="Century Gothic"/>
          <w:b/>
        </w:rPr>
        <w:t>Mise en place des nouveaux programmes </w:t>
      </w:r>
    </w:p>
    <w:p w:rsidR="008220CD" w:rsidRPr="005F2DA6" w:rsidRDefault="00F01DEA" w:rsidP="008220CD">
      <w:pPr>
        <w:pStyle w:val="Default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color w:val="0070C0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8220CD" w:rsidRPr="00620168" w:rsidRDefault="008220CD" w:rsidP="008220CD">
      <w:pPr>
        <w:pStyle w:val="Default"/>
        <w:rPr>
          <w:rFonts w:ascii="Century Gothic" w:hAnsi="Century Gothic"/>
        </w:rPr>
      </w:pPr>
    </w:p>
    <w:p w:rsidR="008220CD" w:rsidRPr="000A3E35" w:rsidRDefault="008220CD" w:rsidP="008220CD">
      <w:pPr>
        <w:pStyle w:val="Paragraphedeliste"/>
        <w:numPr>
          <w:ilvl w:val="0"/>
          <w:numId w:val="1"/>
        </w:numPr>
        <w:rPr>
          <w:rFonts w:ascii="Century Gothic" w:hAnsi="Century Gothic"/>
          <w:i/>
          <w:sz w:val="24"/>
          <w:szCs w:val="24"/>
        </w:rPr>
      </w:pPr>
      <w:r w:rsidRPr="000A3E35">
        <w:rPr>
          <w:rFonts w:ascii="Century Gothic" w:hAnsi="Century Gothic"/>
          <w:i/>
          <w:sz w:val="24"/>
          <w:szCs w:val="24"/>
        </w:rPr>
        <w:t>« Découvrir</w:t>
      </w:r>
      <w:r>
        <w:rPr>
          <w:rFonts w:ascii="Century Gothic" w:hAnsi="Century Gothic"/>
          <w:i/>
          <w:sz w:val="24"/>
          <w:szCs w:val="24"/>
        </w:rPr>
        <w:t xml:space="preserve"> des œuvres et des textes du XXème siècle appartenant à des genres divers et en lien avec les bouleversements historiques majeurs qui l’ont marqué ».</w:t>
      </w:r>
    </w:p>
    <w:p w:rsidR="008220CD" w:rsidRPr="000A3E35" w:rsidRDefault="008220CD" w:rsidP="008220CD">
      <w:pPr>
        <w:pStyle w:val="Paragraphedeliste"/>
        <w:numPr>
          <w:ilvl w:val="0"/>
          <w:numId w:val="1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« Comprendre en quoi les textes littéraires dépassent le statut de document historique et visent au-delà du témoignage, mais aussi de la simple efficacité rhétorique.</w:t>
      </w:r>
      <w:r w:rsidRPr="000A3E35">
        <w:rPr>
          <w:rFonts w:ascii="Century Gothic" w:hAnsi="Century Gothic"/>
          <w:i/>
          <w:sz w:val="24"/>
          <w:szCs w:val="24"/>
        </w:rPr>
        <w:t> »</w:t>
      </w:r>
    </w:p>
    <w:p w:rsidR="008220CD" w:rsidRDefault="008220CD" w:rsidP="008220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Bold"/>
          <w:b/>
          <w:bCs/>
          <w:sz w:val="29"/>
          <w:szCs w:val="29"/>
          <w:lang w:bidi="ar-SA"/>
        </w:rPr>
      </w:pPr>
      <w:r w:rsidRPr="000A3E35">
        <w:rPr>
          <w:rFonts w:ascii="Century Gothic" w:hAnsi="Century Gothic"/>
          <w:i/>
          <w:sz w:val="24"/>
          <w:szCs w:val="24"/>
        </w:rPr>
        <w:t>« </w:t>
      </w:r>
      <w:r>
        <w:rPr>
          <w:rFonts w:ascii="Century Gothic" w:hAnsi="Century Gothic"/>
          <w:i/>
          <w:sz w:val="24"/>
          <w:szCs w:val="24"/>
        </w:rPr>
        <w:t>S’interroger sur les notions d’engagement et de résistance, et sur le rapport à l’histoire qui caractérise les œuvres et textes étudiés. »</w:t>
      </w:r>
    </w:p>
    <w:p w:rsidR="008220CD" w:rsidRDefault="008220CD" w:rsidP="008220CD">
      <w:pPr>
        <w:pStyle w:val="Paragraphedeliste"/>
        <w:autoSpaceDE w:val="0"/>
        <w:autoSpaceDN w:val="0"/>
        <w:adjustRightInd w:val="0"/>
        <w:spacing w:after="0" w:line="240" w:lineRule="auto"/>
        <w:ind w:left="396"/>
        <w:rPr>
          <w:rFonts w:ascii="Century Gothic" w:hAnsi="Century Gothic" w:cs="LegacySansItcT-Bold"/>
          <w:b/>
          <w:bCs/>
          <w:sz w:val="29"/>
          <w:szCs w:val="29"/>
          <w:lang w:bidi="ar-SA"/>
        </w:rPr>
      </w:pPr>
    </w:p>
    <w:p w:rsidR="008220CD" w:rsidRPr="000A3E35" w:rsidRDefault="008220CD" w:rsidP="008220CD">
      <w:pPr>
        <w:jc w:val="center"/>
        <w:rPr>
          <w:rFonts w:ascii="Century Gothic" w:hAnsi="Century Gothic"/>
          <w:b/>
          <w:sz w:val="24"/>
          <w:szCs w:val="24"/>
        </w:rPr>
      </w:pPr>
      <w:r w:rsidRPr="000A3E35">
        <w:rPr>
          <w:rFonts w:ascii="Century Gothic" w:hAnsi="Century Gothic"/>
          <w:b/>
          <w:sz w:val="24"/>
          <w:szCs w:val="24"/>
        </w:rPr>
        <w:t>Compétences travaillées</w:t>
      </w:r>
      <w:r>
        <w:rPr>
          <w:rFonts w:ascii="Century Gothic" w:hAnsi="Century Gothic"/>
          <w:b/>
          <w:sz w:val="24"/>
          <w:szCs w:val="24"/>
        </w:rPr>
        <w:t> :</w:t>
      </w:r>
    </w:p>
    <w:p w:rsidR="008220CD" w:rsidRPr="000A3E35" w:rsidRDefault="008220CD" w:rsidP="008220CD">
      <w:pPr>
        <w:rPr>
          <w:rFonts w:ascii="Century Gothic" w:hAnsi="Century Gothic"/>
          <w:b/>
          <w:sz w:val="24"/>
          <w:szCs w:val="24"/>
        </w:rPr>
      </w:pPr>
      <w:r w:rsidRPr="000A3E35">
        <w:rPr>
          <w:rFonts w:ascii="Century Gothic" w:hAnsi="Century Gothic"/>
          <w:b/>
          <w:sz w:val="24"/>
          <w:szCs w:val="24"/>
        </w:rPr>
        <w:t xml:space="preserve">Comprendre et s’exprimer à l’oral : </w:t>
      </w:r>
    </w:p>
    <w:p w:rsidR="008220CD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2C4042">
        <w:rPr>
          <w:rFonts w:ascii="Century Gothic" w:hAnsi="Century Gothic"/>
        </w:rPr>
        <w:t xml:space="preserve">Comprendre et interpréter des messages </w:t>
      </w:r>
      <w:r>
        <w:rPr>
          <w:rFonts w:ascii="Century Gothic" w:hAnsi="Century Gothic"/>
        </w:rPr>
        <w:t xml:space="preserve">et des discours </w:t>
      </w:r>
      <w:r w:rsidRPr="002C4042">
        <w:rPr>
          <w:rFonts w:ascii="Century Gothic" w:hAnsi="Century Gothic"/>
        </w:rPr>
        <w:t>oraux</w:t>
      </w:r>
      <w:r>
        <w:rPr>
          <w:rFonts w:ascii="Century Gothic" w:hAnsi="Century Gothic"/>
        </w:rPr>
        <w:t xml:space="preserve"> complexes</w:t>
      </w:r>
    </w:p>
    <w:p w:rsidR="008220CD" w:rsidRPr="002C4042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S’exprimer de façon maîtrisée en s’adressant à un auditoire</w:t>
      </w:r>
    </w:p>
    <w:p w:rsidR="008220CD" w:rsidRPr="002C4042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2C4042">
        <w:rPr>
          <w:rFonts w:ascii="Century Gothic" w:hAnsi="Century Gothic"/>
        </w:rPr>
        <w:t>Exploiter les ressources expressives et créatives de la parole</w:t>
      </w:r>
    </w:p>
    <w:p w:rsidR="008220CD" w:rsidRPr="000A3E35" w:rsidRDefault="008220CD" w:rsidP="008220CD">
      <w:pPr>
        <w:rPr>
          <w:rFonts w:ascii="Century Gothic" w:hAnsi="Century Gothic"/>
          <w:b/>
          <w:sz w:val="24"/>
          <w:szCs w:val="24"/>
        </w:rPr>
      </w:pPr>
      <w:r w:rsidRPr="000A3E35">
        <w:rPr>
          <w:rFonts w:ascii="Century Gothic" w:hAnsi="Century Gothic"/>
          <w:b/>
          <w:sz w:val="24"/>
          <w:szCs w:val="24"/>
        </w:rPr>
        <w:t xml:space="preserve">Lire : </w:t>
      </w:r>
    </w:p>
    <w:p w:rsidR="008220CD" w:rsidRPr="002C4042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2C4042">
        <w:rPr>
          <w:rFonts w:ascii="Century Gothic" w:hAnsi="Century Gothic"/>
        </w:rPr>
        <w:t>Lire des images</w:t>
      </w:r>
    </w:p>
    <w:p w:rsidR="008220CD" w:rsidRPr="002C4042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2C4042">
        <w:rPr>
          <w:rFonts w:ascii="Century Gothic" w:hAnsi="Century Gothic"/>
        </w:rPr>
        <w:t>Lire des œuvres littéraires, fréquenter des œuvres d’art.</w:t>
      </w:r>
    </w:p>
    <w:p w:rsidR="008220CD" w:rsidRPr="002C4042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2C4042">
        <w:rPr>
          <w:rFonts w:ascii="Century Gothic" w:hAnsi="Century Gothic"/>
        </w:rPr>
        <w:t>Elaborer une interprétation de textes littéraires.</w:t>
      </w:r>
    </w:p>
    <w:p w:rsidR="008220CD" w:rsidRPr="000A3E35" w:rsidRDefault="008220CD" w:rsidP="008220CD">
      <w:pPr>
        <w:tabs>
          <w:tab w:val="left" w:pos="1365"/>
        </w:tabs>
        <w:ind w:left="60"/>
        <w:rPr>
          <w:rFonts w:ascii="Century Gothic" w:hAnsi="Century Gothic"/>
          <w:b/>
          <w:sz w:val="24"/>
          <w:szCs w:val="24"/>
        </w:rPr>
      </w:pPr>
      <w:r w:rsidRPr="000A3E35">
        <w:rPr>
          <w:rFonts w:ascii="Century Gothic" w:hAnsi="Century Gothic"/>
          <w:b/>
          <w:sz w:val="24"/>
          <w:szCs w:val="24"/>
        </w:rPr>
        <w:t xml:space="preserve">Ecrire : </w:t>
      </w:r>
      <w:r w:rsidRPr="000A3E35">
        <w:rPr>
          <w:rFonts w:ascii="Century Gothic" w:hAnsi="Century Gothic"/>
          <w:b/>
          <w:sz w:val="24"/>
          <w:szCs w:val="24"/>
        </w:rPr>
        <w:tab/>
      </w:r>
    </w:p>
    <w:p w:rsidR="008220CD" w:rsidRPr="002C4042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2C4042">
        <w:rPr>
          <w:rFonts w:ascii="Century Gothic" w:hAnsi="Century Gothic"/>
        </w:rPr>
        <w:t>Utiliser l’écrit pour penser et pour apprendre.</w:t>
      </w:r>
    </w:p>
    <w:p w:rsidR="008220CD" w:rsidRPr="00940B6E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Exploiter des lectures pour enrichir son écrit.</w:t>
      </w:r>
    </w:p>
    <w:p w:rsidR="008220CD" w:rsidRPr="00940B6E" w:rsidRDefault="008220CD" w:rsidP="008220CD">
      <w:pPr>
        <w:ind w:left="60"/>
        <w:rPr>
          <w:rFonts w:ascii="Century Gothic" w:hAnsi="Century Gothic"/>
          <w:b/>
          <w:sz w:val="24"/>
          <w:szCs w:val="24"/>
        </w:rPr>
      </w:pPr>
      <w:r w:rsidRPr="00940B6E">
        <w:rPr>
          <w:rFonts w:ascii="Century Gothic" w:hAnsi="Century Gothic"/>
          <w:b/>
          <w:sz w:val="24"/>
          <w:szCs w:val="24"/>
        </w:rPr>
        <w:t>Comprendre le fonctionnement de la langue</w:t>
      </w:r>
    </w:p>
    <w:p w:rsidR="008220CD" w:rsidRDefault="008220CD" w:rsidP="008220CD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40B6E">
        <w:rPr>
          <w:rFonts w:ascii="Century Gothic" w:hAnsi="Century Gothic"/>
          <w:sz w:val="24"/>
          <w:szCs w:val="24"/>
        </w:rPr>
        <w:t>Connaitre les</w:t>
      </w:r>
      <w:r>
        <w:rPr>
          <w:rFonts w:ascii="Century Gothic" w:hAnsi="Century Gothic"/>
          <w:sz w:val="24"/>
          <w:szCs w:val="24"/>
        </w:rPr>
        <w:t xml:space="preserve"> </w:t>
      </w:r>
      <w:r w:rsidRPr="00940B6E">
        <w:rPr>
          <w:rFonts w:ascii="Century Gothic" w:hAnsi="Century Gothic"/>
          <w:sz w:val="24"/>
          <w:szCs w:val="24"/>
        </w:rPr>
        <w:t>différences entre l’oral et l’écrit.</w:t>
      </w:r>
    </w:p>
    <w:p w:rsidR="008220CD" w:rsidRPr="00940B6E" w:rsidRDefault="008220CD" w:rsidP="008220CD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Construire les notions permettant l’analyse et la production des textes et des discours</w:t>
      </w:r>
    </w:p>
    <w:p w:rsidR="008220CD" w:rsidRPr="000A3E35" w:rsidRDefault="008220CD" w:rsidP="008220CD">
      <w:pPr>
        <w:rPr>
          <w:rFonts w:ascii="Century Gothic" w:hAnsi="Century Gothic"/>
          <w:b/>
          <w:sz w:val="24"/>
          <w:szCs w:val="24"/>
        </w:rPr>
      </w:pPr>
      <w:r w:rsidRPr="000A3E35">
        <w:rPr>
          <w:rFonts w:ascii="Century Gothic" w:hAnsi="Century Gothic"/>
          <w:b/>
          <w:sz w:val="24"/>
          <w:szCs w:val="24"/>
        </w:rPr>
        <w:t xml:space="preserve">Acquérir des éléments de culture littéraire et artistique : </w:t>
      </w:r>
    </w:p>
    <w:p w:rsidR="008220CD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C4042">
        <w:rPr>
          <w:rFonts w:ascii="Century Gothic" w:hAnsi="Century Gothic"/>
        </w:rPr>
        <w:t>Mobiliser des références culturelles pour interpréter les textes et les productions artistiques et littéraires et pour enrichir son expression personnelle</w:t>
      </w:r>
      <w:r>
        <w:rPr>
          <w:rFonts w:ascii="Century Gothic" w:hAnsi="Century Gothic"/>
          <w:sz w:val="24"/>
          <w:szCs w:val="24"/>
        </w:rPr>
        <w:t>.</w:t>
      </w:r>
    </w:p>
    <w:p w:rsidR="008220CD" w:rsidRDefault="008220CD" w:rsidP="008220CD">
      <w:pPr>
        <w:rPr>
          <w:rFonts w:ascii="Century Gothic" w:hAnsi="Century Gothic"/>
          <w:sz w:val="24"/>
          <w:szCs w:val="24"/>
        </w:rPr>
      </w:pPr>
    </w:p>
    <w:p w:rsidR="008220CD" w:rsidRPr="008220CD" w:rsidRDefault="008220CD" w:rsidP="008220CD">
      <w:pPr>
        <w:rPr>
          <w:rFonts w:ascii="Century Gothic" w:hAnsi="Century Gothic"/>
          <w:sz w:val="24"/>
          <w:szCs w:val="24"/>
        </w:rPr>
      </w:pPr>
    </w:p>
    <w:p w:rsidR="008220CD" w:rsidRPr="00551116" w:rsidRDefault="008220CD" w:rsidP="008220CD">
      <w:pPr>
        <w:pStyle w:val="Default"/>
        <w:ind w:left="420"/>
        <w:jc w:val="right"/>
        <w:rPr>
          <w:rFonts w:ascii="Century Gothic" w:hAnsi="Century Gothic"/>
          <w:b/>
        </w:rPr>
      </w:pPr>
      <w:r w:rsidRPr="00551116">
        <w:rPr>
          <w:rFonts w:ascii="Century Gothic" w:hAnsi="Century Gothic"/>
          <w:b/>
        </w:rPr>
        <w:lastRenderedPageBreak/>
        <w:t xml:space="preserve">Déroulement de la séquence </w:t>
      </w:r>
    </w:p>
    <w:p w:rsidR="008220CD" w:rsidRDefault="00F01DEA" w:rsidP="008220CD">
      <w:pPr>
        <w:pStyle w:val="Default"/>
        <w:ind w:left="60"/>
        <w:rPr>
          <w:rFonts w:ascii="Century Gothic" w:hAnsi="Century Gothic"/>
        </w:rPr>
      </w:pPr>
      <w:r>
        <w:rPr>
          <w:rFonts w:ascii="Century Gothic" w:hAnsi="Century Gothic"/>
          <w:color w:val="0070C0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8220CD" w:rsidRDefault="008220CD" w:rsidP="008220CD">
      <w:pPr>
        <w:pStyle w:val="Default"/>
        <w:ind w:left="420"/>
        <w:rPr>
          <w:rFonts w:ascii="Century Gothic" w:hAnsi="Century Gothic"/>
        </w:rPr>
      </w:pPr>
    </w:p>
    <w:p w:rsidR="008220CD" w:rsidRPr="003C2908" w:rsidRDefault="008220CD" w:rsidP="008220CD">
      <w:pPr>
        <w:pStyle w:val="Default"/>
        <w:ind w:firstLine="708"/>
        <w:rPr>
          <w:rFonts w:ascii="Century Gothic" w:hAnsi="Century Gothic"/>
          <w:sz w:val="22"/>
          <w:szCs w:val="22"/>
        </w:rPr>
      </w:pPr>
      <w:r w:rsidRPr="003C2908">
        <w:rPr>
          <w:rFonts w:ascii="Century Gothic" w:hAnsi="Century Gothic"/>
          <w:sz w:val="22"/>
          <w:szCs w:val="22"/>
        </w:rPr>
        <w:t xml:space="preserve">La pièce est lue en intégralité dans le cadre du cours. Les exemplaires (en série) sont donc distribués à chaque début de cours. </w:t>
      </w:r>
    </w:p>
    <w:p w:rsidR="008220CD" w:rsidRPr="003C2908" w:rsidRDefault="008220CD" w:rsidP="008220CD">
      <w:pPr>
        <w:pStyle w:val="Default"/>
        <w:rPr>
          <w:rFonts w:ascii="Century Gothic" w:hAnsi="Century Gothic"/>
          <w:sz w:val="22"/>
          <w:szCs w:val="22"/>
        </w:rPr>
      </w:pPr>
      <w:r w:rsidRPr="003C2908">
        <w:rPr>
          <w:rFonts w:ascii="Century Gothic" w:hAnsi="Century Gothic"/>
          <w:sz w:val="22"/>
          <w:szCs w:val="22"/>
        </w:rPr>
        <w:t>La pièce est disponible en version filmée. Il s’agit de la mise en scène de Robert Hossein (théâtre de Marigny en 2003). Antigone y est interprétée par Barbara Schutlz. Cette captation peut permettre un travail sur l’image ou l’accès au sens de certains passages.</w:t>
      </w:r>
    </w:p>
    <w:p w:rsidR="008220CD" w:rsidRPr="008220CD" w:rsidRDefault="008220CD" w:rsidP="008220CD">
      <w:pPr>
        <w:rPr>
          <w:rFonts w:ascii="Century Gothic" w:hAnsi="Century Gothic"/>
          <w:sz w:val="24"/>
          <w:szCs w:val="24"/>
        </w:rPr>
      </w:pPr>
      <w:r w:rsidRPr="008220CD">
        <w:rPr>
          <w:rFonts w:ascii="Century Gothic" w:hAnsi="Century Gothic"/>
        </w:rPr>
        <w:t>Certaines scènes sont ainsi visionnées avant ou après l’analyse</w:t>
      </w:r>
      <w:r w:rsidRPr="008220CD">
        <w:rPr>
          <w:rFonts w:ascii="Century Gothic" w:hAnsi="Century Gothic"/>
          <w:sz w:val="24"/>
          <w:szCs w:val="24"/>
        </w:rPr>
        <w:t xml:space="preserve">. </w:t>
      </w:r>
    </w:p>
    <w:p w:rsidR="008220CD" w:rsidRPr="003C2908" w:rsidRDefault="008220CD" w:rsidP="008220CD">
      <w:pPr>
        <w:pStyle w:val="Default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Problématique : </w:t>
      </w:r>
      <w:r>
        <w:rPr>
          <w:rFonts w:ascii="Century Gothic" w:hAnsi="Century Gothic"/>
          <w:b/>
        </w:rPr>
        <w:tab/>
      </w:r>
      <w:r w:rsidRPr="003C2908">
        <w:rPr>
          <w:rFonts w:ascii="Century Gothic" w:hAnsi="Century Gothic"/>
          <w:i/>
        </w:rPr>
        <w:t xml:space="preserve">L’individu face au pouvoir </w:t>
      </w:r>
    </w:p>
    <w:p w:rsidR="008220CD" w:rsidRPr="00551116" w:rsidRDefault="008220CD" w:rsidP="008220CD">
      <w:pPr>
        <w:pStyle w:val="Default"/>
        <w:ind w:left="420"/>
        <w:rPr>
          <w:rFonts w:ascii="Century Gothic" w:hAnsi="Century Gothic"/>
          <w:i/>
        </w:rPr>
      </w:pPr>
      <w:r w:rsidRPr="00551116">
        <w:rPr>
          <w:rFonts w:ascii="Century Gothic" w:hAnsi="Century Gothic"/>
          <w:i/>
        </w:rPr>
        <w:t>Dire « non », est-ce faire l’enfant ou agir en héros ?</w:t>
      </w:r>
    </w:p>
    <w:p w:rsidR="008220CD" w:rsidRDefault="008220CD" w:rsidP="008220CD">
      <w:pPr>
        <w:pStyle w:val="Default"/>
        <w:ind w:left="420"/>
        <w:rPr>
          <w:rFonts w:ascii="Century Gothic" w:hAnsi="Century Gothic"/>
          <w:b/>
        </w:rPr>
      </w:pPr>
    </w:p>
    <w:p w:rsidR="008220CD" w:rsidRDefault="008220CD" w:rsidP="008220CD">
      <w:pPr>
        <w:pStyle w:val="Default"/>
        <w:rPr>
          <w:rFonts w:ascii="Century Gothic" w:hAnsi="Century Gothic"/>
          <w:b/>
        </w:rPr>
      </w:pPr>
      <w:r w:rsidRPr="00CE4074">
        <w:rPr>
          <w:rFonts w:ascii="Century Gothic" w:hAnsi="Century Gothic"/>
          <w:b/>
        </w:rPr>
        <w:t xml:space="preserve">Objectifs : </w:t>
      </w:r>
    </w:p>
    <w:p w:rsidR="008220CD" w:rsidRPr="00CE4074" w:rsidRDefault="008220CD" w:rsidP="008220CD">
      <w:pPr>
        <w:pStyle w:val="Default"/>
        <w:rPr>
          <w:rFonts w:ascii="Century Gothic" w:hAnsi="Century Gothic"/>
          <w:b/>
        </w:rPr>
      </w:pPr>
    </w:p>
    <w:p w:rsidR="008220CD" w:rsidRPr="00BB29F5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 w:cs="MetaOT-Book"/>
        </w:rPr>
      </w:pPr>
      <w:r w:rsidRPr="00BB29F5">
        <w:rPr>
          <w:rFonts w:ascii="Century Gothic" w:hAnsi="Century Gothic" w:cs="MetaOT-Book"/>
        </w:rPr>
        <w:t xml:space="preserve">Découvrir le mythe d’Antigone </w:t>
      </w:r>
    </w:p>
    <w:p w:rsidR="008220CD" w:rsidRPr="00BB29F5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BB29F5">
        <w:rPr>
          <w:rFonts w:ascii="Century Gothic" w:hAnsi="Century Gothic" w:cs="MetaOT-Book"/>
        </w:rPr>
        <w:t xml:space="preserve">Étudier les caractéristiques de la tragédie et son évolution de l’Antiquité à l’époque  contemporaine </w:t>
      </w:r>
    </w:p>
    <w:p w:rsidR="008220CD" w:rsidRPr="00551116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BB29F5">
        <w:rPr>
          <w:rFonts w:ascii="Century Gothic" w:hAnsi="Century Gothic" w:cs="MetaOT-Book"/>
        </w:rPr>
        <w:t>Comprendre ce que peut nous dire la tragédie aujourd’hui</w:t>
      </w:r>
    </w:p>
    <w:p w:rsidR="008220CD" w:rsidRPr="008220CD" w:rsidRDefault="008220CD" w:rsidP="008220CD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 w:cs="MetaOT-Book"/>
        </w:rPr>
        <w:t>Définir l’engagement</w:t>
      </w:r>
    </w:p>
    <w:p w:rsidR="008220CD" w:rsidRPr="00BB29F5" w:rsidRDefault="008220CD" w:rsidP="008220CD">
      <w:pPr>
        <w:pStyle w:val="Paragraphedeliste"/>
        <w:ind w:left="420"/>
        <w:rPr>
          <w:rFonts w:ascii="Century Gothic" w:hAnsi="Century Gothic"/>
        </w:rPr>
      </w:pP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b/>
          <w:sz w:val="24"/>
          <w:szCs w:val="24"/>
          <w:lang w:bidi="ar-SA"/>
        </w:rPr>
      </w:pPr>
      <w:r w:rsidRPr="008220CD">
        <w:rPr>
          <w:rFonts w:ascii="Century Gothic" w:hAnsi="Century Gothic" w:cs="LegacySansItcT-Bold"/>
          <w:b/>
          <w:bCs/>
          <w:sz w:val="24"/>
          <w:szCs w:val="24"/>
          <w:lang w:bidi="ar-SA"/>
        </w:rPr>
        <w:t xml:space="preserve">Séance 1/ </w:t>
      </w:r>
      <w:r w:rsidRPr="008220CD">
        <w:rPr>
          <w:rFonts w:ascii="Century Gothic" w:hAnsi="Century Gothic" w:cs="LegacySansItcT-Medium"/>
          <w:b/>
          <w:sz w:val="24"/>
          <w:szCs w:val="24"/>
          <w:lang w:bidi="ar-SA"/>
        </w:rPr>
        <w:t>Étudier le prologue</w:t>
      </w:r>
    </w:p>
    <w:p w:rsidR="008220CD" w:rsidRPr="00BB29F5" w:rsidRDefault="008220CD" w:rsidP="008220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Découvrir les personnages</w:t>
      </w:r>
    </w:p>
    <w:p w:rsidR="008220CD" w:rsidRPr="00BB29F5" w:rsidRDefault="008220CD" w:rsidP="008220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La mise en place du tragique moderne</w:t>
      </w:r>
      <w:r>
        <w:rPr>
          <w:rFonts w:ascii="Century Gothic" w:hAnsi="Century Gothic" w:cs="LegacySansItcT-Medium"/>
          <w:lang w:bidi="ar-SA"/>
        </w:rPr>
        <w:t> </w:t>
      </w:r>
    </w:p>
    <w:p w:rsidR="008220CD" w:rsidRPr="00BB29F5" w:rsidRDefault="008220CD" w:rsidP="008220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>
        <w:rPr>
          <w:rFonts w:ascii="Century Gothic" w:hAnsi="Century Gothic" w:cs="LegacySansItcT-Medium"/>
          <w:lang w:bidi="ar-SA"/>
        </w:rPr>
        <w:t xml:space="preserve">Rappel : </w:t>
      </w:r>
      <w:r w:rsidRPr="00BB29F5">
        <w:rPr>
          <w:rFonts w:ascii="Century Gothic" w:hAnsi="Century Gothic" w:cs="LegacySansItcT-Medium"/>
          <w:lang w:bidi="ar-SA"/>
        </w:rPr>
        <w:t>Le vocabulaire théâtral</w:t>
      </w:r>
    </w:p>
    <w:p w:rsidR="008220CD" w:rsidRPr="00BB29F5" w:rsidRDefault="008220CD" w:rsidP="008220CD">
      <w:pPr>
        <w:pStyle w:val="Paragraphedeliste"/>
        <w:autoSpaceDE w:val="0"/>
        <w:autoSpaceDN w:val="0"/>
        <w:adjustRightInd w:val="0"/>
        <w:spacing w:after="0" w:line="240" w:lineRule="auto"/>
        <w:ind w:left="1116"/>
        <w:rPr>
          <w:rFonts w:ascii="Century Gothic" w:hAnsi="Century Gothic" w:cs="LegacySansItcT-Medium"/>
          <w:lang w:bidi="ar-SA"/>
        </w:rPr>
      </w:pP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sz w:val="24"/>
          <w:szCs w:val="24"/>
          <w:lang w:bidi="ar-SA"/>
        </w:rPr>
      </w:pPr>
      <w:r w:rsidRPr="008220CD">
        <w:rPr>
          <w:rFonts w:ascii="Century Gothic" w:hAnsi="Century Gothic" w:cs="LegacySansItcT-Bold"/>
          <w:b/>
          <w:bCs/>
          <w:sz w:val="24"/>
          <w:szCs w:val="24"/>
          <w:lang w:bidi="ar-SA"/>
        </w:rPr>
        <w:t xml:space="preserve">Séance 2/ </w:t>
      </w:r>
      <w:r w:rsidRPr="008220CD">
        <w:rPr>
          <w:rFonts w:ascii="Century Gothic" w:hAnsi="Century Gothic" w:cs="LegacySansItcT-Medium"/>
          <w:b/>
          <w:sz w:val="24"/>
          <w:szCs w:val="24"/>
          <w:lang w:bidi="ar-SA"/>
        </w:rPr>
        <w:t xml:space="preserve">Analyser l’invention d’un </w:t>
      </w:r>
      <w:r>
        <w:rPr>
          <w:rFonts w:ascii="Century Gothic" w:hAnsi="Century Gothic" w:cs="LegacySansItcT-Medium"/>
          <w:b/>
          <w:sz w:val="24"/>
          <w:szCs w:val="24"/>
          <w:lang w:bidi="ar-SA"/>
        </w:rPr>
        <w:t xml:space="preserve">nouveau personnage </w:t>
      </w:r>
    </w:p>
    <w:p w:rsidR="008220CD" w:rsidRPr="00BB29F5" w:rsidRDefault="008220CD" w:rsidP="008220C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Un nouveau personnage : la nourrice</w:t>
      </w:r>
    </w:p>
    <w:p w:rsidR="008220CD" w:rsidRPr="00BB29F5" w:rsidRDefault="008220CD" w:rsidP="008220C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La notion d’implicite</w:t>
      </w:r>
    </w:p>
    <w:p w:rsidR="008220CD" w:rsidRPr="00BB29F5" w:rsidRDefault="008220CD" w:rsidP="008220CD">
      <w:pPr>
        <w:pStyle w:val="Paragraphedeliste"/>
        <w:autoSpaceDE w:val="0"/>
        <w:autoSpaceDN w:val="0"/>
        <w:adjustRightInd w:val="0"/>
        <w:spacing w:after="0" w:line="240" w:lineRule="auto"/>
        <w:ind w:left="1116"/>
        <w:rPr>
          <w:rFonts w:ascii="Century Gothic" w:hAnsi="Century Gothic" w:cs="LegacySansItcT-Medium"/>
          <w:lang w:bidi="ar-SA"/>
        </w:rPr>
      </w:pP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b/>
          <w:sz w:val="24"/>
          <w:szCs w:val="24"/>
          <w:lang w:bidi="ar-SA"/>
        </w:rPr>
      </w:pPr>
      <w:r w:rsidRPr="008220CD">
        <w:rPr>
          <w:rFonts w:ascii="Century Gothic" w:hAnsi="Century Gothic" w:cs="LegacySansItcT-Bold"/>
          <w:b/>
          <w:bCs/>
          <w:sz w:val="24"/>
          <w:szCs w:val="24"/>
          <w:lang w:bidi="ar-SA"/>
        </w:rPr>
        <w:t>Séance 3 /</w:t>
      </w:r>
      <w:r w:rsidRPr="008220CD">
        <w:rPr>
          <w:rFonts w:ascii="Century Gothic" w:hAnsi="Century Gothic" w:cs="LegacySansItcT-Medium"/>
          <w:b/>
          <w:sz w:val="24"/>
          <w:szCs w:val="24"/>
          <w:lang w:bidi="ar-SA"/>
        </w:rPr>
        <w:t xml:space="preserve">Étudier l’opposition : deux sœurs face à leur conscience </w:t>
      </w:r>
    </w:p>
    <w:p w:rsidR="008220CD" w:rsidRPr="00BB29F5" w:rsidRDefault="008220CD" w:rsidP="008220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Deux caractères opposés</w:t>
      </w:r>
    </w:p>
    <w:p w:rsidR="008220CD" w:rsidRDefault="008220CD" w:rsidP="008220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Étude de l’image</w:t>
      </w:r>
    </w:p>
    <w:p w:rsidR="008220CD" w:rsidRDefault="008220CD" w:rsidP="008220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>
        <w:rPr>
          <w:rFonts w:ascii="Century Gothic" w:hAnsi="Century Gothic" w:cs="LegacySansItcT-Medium"/>
          <w:lang w:bidi="ar-SA"/>
        </w:rPr>
        <w:t>L’engagement d’Antigone</w:t>
      </w:r>
    </w:p>
    <w:p w:rsidR="008220CD" w:rsidRDefault="008220CD" w:rsidP="008220CD">
      <w:pPr>
        <w:pStyle w:val="Paragraphedeliste"/>
        <w:autoSpaceDE w:val="0"/>
        <w:autoSpaceDN w:val="0"/>
        <w:adjustRightInd w:val="0"/>
        <w:spacing w:after="0" w:line="240" w:lineRule="auto"/>
        <w:ind w:left="1116"/>
        <w:rPr>
          <w:rFonts w:ascii="Century Gothic" w:hAnsi="Century Gothic" w:cs="LegacySansItcT-Medium"/>
          <w:lang w:bidi="ar-SA"/>
        </w:rPr>
      </w:pP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8220CD">
        <w:rPr>
          <w:rFonts w:ascii="Century Gothic" w:hAnsi="Century Gothic" w:cs="LegacySansItcT-Bold"/>
          <w:b/>
          <w:bCs/>
          <w:sz w:val="24"/>
          <w:szCs w:val="24"/>
          <w:lang w:bidi="ar-SA"/>
        </w:rPr>
        <w:t>Séance 4</w:t>
      </w:r>
      <w:r w:rsidRPr="008220CD">
        <w:rPr>
          <w:rFonts w:ascii="Century Gothic" w:hAnsi="Century Gothic" w:cs="LegacySansItcT-Medium"/>
          <w:sz w:val="24"/>
          <w:szCs w:val="24"/>
          <w:lang w:bidi="ar-SA"/>
        </w:rPr>
        <w:t xml:space="preserve"> /</w:t>
      </w:r>
      <w:r w:rsidRPr="008220CD">
        <w:rPr>
          <w:rFonts w:ascii="Century Gothic" w:hAnsi="Century Gothic" w:cs="LegacySansItcT-Bold"/>
          <w:b/>
          <w:bCs/>
          <w:sz w:val="24"/>
          <w:szCs w:val="24"/>
          <w:lang w:bidi="ar-SA"/>
        </w:rPr>
        <w:t>Antigone face au tyran</w:t>
      </w:r>
      <w:r w:rsidRPr="008220CD">
        <w:rPr>
          <w:rFonts w:ascii="Century Gothic" w:hAnsi="Century Gothic" w:cs="LegacySansItcT-Medium"/>
          <w:sz w:val="24"/>
          <w:szCs w:val="24"/>
          <w:lang w:bidi="ar-SA"/>
        </w:rPr>
        <w:t xml:space="preserve">  </w:t>
      </w:r>
    </w:p>
    <w:p w:rsidR="008220CD" w:rsidRPr="00BB29F5" w:rsidRDefault="008220CD" w:rsidP="008220C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La loi et l’interdit</w:t>
      </w:r>
    </w:p>
    <w:p w:rsidR="008220CD" w:rsidRPr="00BB29F5" w:rsidRDefault="008220CD" w:rsidP="008220C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Analyser l’argumentation d’Antigone</w:t>
      </w:r>
    </w:p>
    <w:p w:rsidR="008220CD" w:rsidRDefault="008220CD" w:rsidP="008220C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Identifier la stratégie argumentative de Créon</w:t>
      </w:r>
    </w:p>
    <w:p w:rsidR="008220CD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</w:p>
    <w:p w:rsidR="008220CD" w:rsidRPr="003C2908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3C2908">
        <w:rPr>
          <w:rFonts w:ascii="Century Gothic" w:hAnsi="Century Gothic" w:cs="LegacySansItcT-Medium"/>
          <w:b/>
          <w:lang w:bidi="ar-SA"/>
        </w:rPr>
        <w:t>Pratiquer l’oral</w:t>
      </w:r>
      <w:r>
        <w:rPr>
          <w:rFonts w:ascii="Century Gothic" w:hAnsi="Century Gothic" w:cs="LegacySansItcT-Medium"/>
          <w:lang w:bidi="ar-SA"/>
        </w:rPr>
        <w:t> : construire le procès d’Antigone</w:t>
      </w:r>
    </w:p>
    <w:p w:rsidR="008220CD" w:rsidRDefault="008220CD" w:rsidP="008220CD">
      <w:pPr>
        <w:pStyle w:val="Paragraphedeliste"/>
        <w:autoSpaceDE w:val="0"/>
        <w:autoSpaceDN w:val="0"/>
        <w:adjustRightInd w:val="0"/>
        <w:spacing w:after="0" w:line="240" w:lineRule="auto"/>
        <w:ind w:left="1116"/>
        <w:rPr>
          <w:rFonts w:ascii="Century Gothic" w:hAnsi="Century Gothic" w:cs="LegacySansItcT-Medium"/>
          <w:sz w:val="24"/>
          <w:szCs w:val="24"/>
          <w:lang w:bidi="ar-SA"/>
        </w:rPr>
      </w:pPr>
    </w:p>
    <w:p w:rsidR="008220CD" w:rsidRPr="00CE4074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sz w:val="24"/>
          <w:szCs w:val="24"/>
          <w:lang w:bidi="ar-SA"/>
        </w:rPr>
      </w:pPr>
      <w:r w:rsidRPr="00CE4074">
        <w:rPr>
          <w:rFonts w:ascii="Century Gothic" w:hAnsi="Century Gothic" w:cs="LegacySansItcT-Bold"/>
          <w:b/>
          <w:bCs/>
          <w:sz w:val="24"/>
          <w:szCs w:val="24"/>
          <w:lang w:bidi="ar-SA"/>
        </w:rPr>
        <w:t xml:space="preserve">Séance </w:t>
      </w:r>
      <w:r>
        <w:rPr>
          <w:rFonts w:ascii="Century Gothic" w:hAnsi="Century Gothic" w:cs="LegacySansItcT-Bold"/>
          <w:b/>
          <w:bCs/>
          <w:sz w:val="24"/>
          <w:szCs w:val="24"/>
          <w:lang w:bidi="ar-SA"/>
        </w:rPr>
        <w:t>6/</w:t>
      </w:r>
      <w:r w:rsidRPr="00CE4074">
        <w:rPr>
          <w:rFonts w:ascii="Century Gothic" w:hAnsi="Century Gothic" w:cs="LegacySansItcT-Bold"/>
          <w:b/>
          <w:bCs/>
          <w:sz w:val="24"/>
          <w:szCs w:val="24"/>
          <w:lang w:bidi="ar-SA"/>
        </w:rPr>
        <w:t xml:space="preserve"> </w:t>
      </w:r>
      <w:r w:rsidRPr="0084723B">
        <w:rPr>
          <w:rFonts w:ascii="Century Gothic" w:hAnsi="Century Gothic" w:cs="LegacySansItcT-Medium"/>
          <w:b/>
          <w:sz w:val="24"/>
          <w:szCs w:val="24"/>
          <w:lang w:bidi="ar-SA"/>
        </w:rPr>
        <w:t>Repérer un tournant dans la pièce : Quelle vision de l’homme ?</w:t>
      </w:r>
      <w:r>
        <w:rPr>
          <w:rFonts w:ascii="Century Gothic" w:hAnsi="Century Gothic" w:cs="LegacySansItcT-Medium"/>
          <w:b/>
          <w:sz w:val="24"/>
          <w:szCs w:val="24"/>
          <w:lang w:bidi="ar-SA"/>
        </w:rPr>
        <w:t xml:space="preserve"> </w:t>
      </w:r>
    </w:p>
    <w:p w:rsidR="008220CD" w:rsidRPr="00BB29F5" w:rsidRDefault="008220CD" w:rsidP="008220C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Étudier un point de bascule dans la pièce</w:t>
      </w:r>
    </w:p>
    <w:p w:rsidR="008220CD" w:rsidRPr="00BB29F5" w:rsidRDefault="008220CD" w:rsidP="008220C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Deux conceptions opposées du bonheur</w:t>
      </w:r>
    </w:p>
    <w:p w:rsidR="008220CD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</w:p>
    <w:p w:rsidR="008220CD" w:rsidRPr="00CE4074" w:rsidRDefault="008220CD" w:rsidP="00822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b/>
          <w:sz w:val="24"/>
          <w:szCs w:val="24"/>
          <w:lang w:bidi="ar-SA"/>
        </w:rPr>
      </w:pPr>
      <w:r>
        <w:rPr>
          <w:rFonts w:ascii="Century Gothic" w:hAnsi="Century Gothic" w:cs="LegacySansItcT-Medium"/>
          <w:b/>
          <w:sz w:val="24"/>
          <w:szCs w:val="24"/>
          <w:lang w:bidi="ar-SA"/>
        </w:rPr>
        <w:t xml:space="preserve"> Séance 7/</w:t>
      </w:r>
      <w:r w:rsidRPr="00CE4074">
        <w:rPr>
          <w:rFonts w:ascii="Century Gothic" w:hAnsi="Century Gothic" w:cs="LegacySansItcT-Medium"/>
          <w:b/>
          <w:sz w:val="24"/>
          <w:szCs w:val="24"/>
          <w:lang w:bidi="ar-SA"/>
        </w:rPr>
        <w:t xml:space="preserve"> Le dénouement</w:t>
      </w:r>
      <w:r>
        <w:rPr>
          <w:rFonts w:ascii="Century Gothic" w:hAnsi="Century Gothic" w:cs="LegacySansItcT-Medium"/>
          <w:b/>
          <w:sz w:val="24"/>
          <w:szCs w:val="24"/>
          <w:lang w:bidi="ar-SA"/>
        </w:rPr>
        <w:t xml:space="preserve"> </w:t>
      </w:r>
    </w:p>
    <w:p w:rsidR="008220CD" w:rsidRPr="00BB29F5" w:rsidRDefault="008220CD" w:rsidP="008220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Étudier une fin pathétique</w:t>
      </w:r>
    </w:p>
    <w:p w:rsidR="008220CD" w:rsidRPr="00BB29F5" w:rsidRDefault="008220CD" w:rsidP="008220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Le rôle du chœur</w:t>
      </w:r>
    </w:p>
    <w:p w:rsidR="008220CD" w:rsidRDefault="008220CD" w:rsidP="008220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LegacySansItcT-Medium"/>
          <w:lang w:bidi="ar-SA"/>
        </w:rPr>
      </w:pPr>
      <w:r w:rsidRPr="00BB29F5">
        <w:rPr>
          <w:rFonts w:ascii="Century Gothic" w:hAnsi="Century Gothic" w:cs="LegacySansItcT-Medium"/>
          <w:lang w:bidi="ar-SA"/>
        </w:rPr>
        <w:t>Analyser les caractéristiques de la tragédie selon Jean Anouilh</w:t>
      </w:r>
    </w:p>
    <w:p w:rsidR="008220CD" w:rsidRDefault="008220CD" w:rsidP="008220CD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Century Gothic" w:hAnsi="Century Gothic" w:cs="LegacySansItcT-Medium"/>
          <w:lang w:bidi="ar-SA"/>
        </w:rPr>
      </w:pPr>
    </w:p>
    <w:p w:rsidR="00E9437B" w:rsidRDefault="008220CD">
      <w:r w:rsidRPr="008416B1">
        <w:rPr>
          <w:rFonts w:ascii="Century Gothic" w:hAnsi="Century Gothic"/>
          <w:b/>
          <w:sz w:val="24"/>
          <w:szCs w:val="24"/>
        </w:rPr>
        <w:t>Evaluer ses compétences et se préparer à l’examen</w:t>
      </w:r>
    </w:p>
    <w:sectPr w:rsidR="00E9437B" w:rsidSect="008220CD">
      <w:pgSz w:w="11906" w:h="16838"/>
      <w:pgMar w:top="62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EA" w:rsidRDefault="00F01DEA" w:rsidP="008220CD">
      <w:pPr>
        <w:spacing w:after="0" w:line="240" w:lineRule="auto"/>
      </w:pPr>
      <w:r>
        <w:separator/>
      </w:r>
    </w:p>
  </w:endnote>
  <w:endnote w:type="continuationSeparator" w:id="0">
    <w:p w:rsidR="00F01DEA" w:rsidRDefault="00F01DEA" w:rsidP="0082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LSsymbols">
    <w:altName w:val="LLSsymbo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gacySansIt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Book">
    <w:altName w:val="MetaOT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Itc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EA" w:rsidRDefault="00F01DEA" w:rsidP="008220CD">
      <w:pPr>
        <w:spacing w:after="0" w:line="240" w:lineRule="auto"/>
      </w:pPr>
      <w:r>
        <w:separator/>
      </w:r>
    </w:p>
  </w:footnote>
  <w:footnote w:type="continuationSeparator" w:id="0">
    <w:p w:rsidR="00F01DEA" w:rsidRDefault="00F01DEA" w:rsidP="0082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40B"/>
    <w:multiLevelType w:val="hybridMultilevel"/>
    <w:tmpl w:val="AF62BF44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0CD16F5C"/>
    <w:multiLevelType w:val="hybridMultilevel"/>
    <w:tmpl w:val="E198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44D"/>
    <w:multiLevelType w:val="hybridMultilevel"/>
    <w:tmpl w:val="32008BA6"/>
    <w:lvl w:ilvl="0" w:tplc="01C41572">
      <w:numFmt w:val="bullet"/>
      <w:lvlText w:val="-"/>
      <w:lvlJc w:val="left"/>
      <w:pPr>
        <w:ind w:left="396" w:hanging="360"/>
      </w:pPr>
      <w:rPr>
        <w:rFonts w:ascii="Calibri" w:eastAsiaTheme="minorEastAsia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A4465D5"/>
    <w:multiLevelType w:val="hybridMultilevel"/>
    <w:tmpl w:val="5772433C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BDD1AA0"/>
    <w:multiLevelType w:val="hybridMultilevel"/>
    <w:tmpl w:val="B930DE46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21C3788E"/>
    <w:multiLevelType w:val="hybridMultilevel"/>
    <w:tmpl w:val="909AEAFC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26C509D7"/>
    <w:multiLevelType w:val="hybridMultilevel"/>
    <w:tmpl w:val="5652FD20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583D76C3"/>
    <w:multiLevelType w:val="hybridMultilevel"/>
    <w:tmpl w:val="DF1E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84A77"/>
    <w:multiLevelType w:val="hybridMultilevel"/>
    <w:tmpl w:val="3D2C40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CD"/>
    <w:rsid w:val="002B638C"/>
    <w:rsid w:val="007B19DF"/>
    <w:rsid w:val="008220CD"/>
    <w:rsid w:val="009F7878"/>
    <w:rsid w:val="00BF28F4"/>
    <w:rsid w:val="00E9437B"/>
    <w:rsid w:val="00F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D650-8C43-4E20-B11A-3846CE04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CD"/>
    <w:rPr>
      <w:rFonts w:eastAsiaTheme="minorEastAsia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20CD"/>
    <w:pPr>
      <w:autoSpaceDE w:val="0"/>
      <w:autoSpaceDN w:val="0"/>
      <w:adjustRightInd w:val="0"/>
      <w:spacing w:after="0" w:line="240" w:lineRule="auto"/>
    </w:pPr>
    <w:rPr>
      <w:rFonts w:ascii="LLSsymbols" w:eastAsiaTheme="minorEastAsia" w:hAnsi="LLSsymbols" w:cs="LLSsymbols"/>
      <w:color w:val="000000"/>
      <w:sz w:val="24"/>
      <w:szCs w:val="24"/>
      <w:lang w:eastAsia="zh-TW"/>
    </w:rPr>
  </w:style>
  <w:style w:type="paragraph" w:styleId="Paragraphedeliste">
    <w:name w:val="List Paragraph"/>
    <w:basedOn w:val="Normal"/>
    <w:uiPriority w:val="34"/>
    <w:qFormat/>
    <w:rsid w:val="008220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0CD"/>
    <w:rPr>
      <w:rFonts w:eastAsiaTheme="minorEastAsia"/>
      <w:lang w:eastAsia="zh-TW" w:bidi="he-IL"/>
    </w:rPr>
  </w:style>
  <w:style w:type="paragraph" w:styleId="Pieddepage">
    <w:name w:val="footer"/>
    <w:basedOn w:val="Normal"/>
    <w:link w:val="PieddepageCar"/>
    <w:uiPriority w:val="99"/>
    <w:unhideWhenUsed/>
    <w:rsid w:val="0082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0CD"/>
    <w:rPr>
      <w:rFonts w:eastAsiaTheme="minorEastAsia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Leeuw Joubrel</dc:creator>
  <cp:lastModifiedBy>vfuchs</cp:lastModifiedBy>
  <cp:revision>3</cp:revision>
  <dcterms:created xsi:type="dcterms:W3CDTF">2016-10-10T17:34:00Z</dcterms:created>
  <dcterms:modified xsi:type="dcterms:W3CDTF">2016-11-08T10:59:00Z</dcterms:modified>
</cp:coreProperties>
</file>