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C7" w:rsidRDefault="00701917" w:rsidP="00BC5DE6">
      <w:pPr>
        <w:tabs>
          <w:tab w:val="left" w:pos="217"/>
          <w:tab w:val="center" w:pos="7699"/>
        </w:tabs>
        <w:spacing w:after="0"/>
        <w:contextualSpacing/>
        <w:rPr>
          <w:rFonts w:eastAsia="MS PGothic" w:cstheme="minorHAnsi"/>
          <w:b/>
          <w:sz w:val="40"/>
          <w:szCs w:val="40"/>
        </w:rPr>
      </w:pPr>
      <w:r>
        <w:rPr>
          <w:rFonts w:eastAsia="MS PGothic" w:cstheme="minorHAnsi"/>
          <w:b/>
          <w:sz w:val="40"/>
          <w:szCs w:val="40"/>
        </w:rPr>
        <w:tab/>
        <w:t>Partie 2</w:t>
      </w:r>
      <w:r w:rsidR="00E47505">
        <w:rPr>
          <w:rFonts w:eastAsia="MS PGothic" w:cstheme="minorHAnsi"/>
          <w:b/>
          <w:sz w:val="40"/>
          <w:szCs w:val="40"/>
        </w:rPr>
        <w:t> :</w:t>
      </w:r>
      <w:r>
        <w:rPr>
          <w:rFonts w:eastAsia="MS PGothic" w:cstheme="minorHAnsi"/>
          <w:b/>
          <w:sz w:val="40"/>
          <w:szCs w:val="40"/>
        </w:rPr>
        <w:t xml:space="preserve"> </w:t>
      </w:r>
      <w:r w:rsidR="00E47505">
        <w:rPr>
          <w:rFonts w:eastAsia="MS PGothic" w:cstheme="minorHAnsi"/>
          <w:b/>
          <w:sz w:val="40"/>
          <w:szCs w:val="40"/>
        </w:rPr>
        <w:t>Analyse du</w:t>
      </w:r>
      <w:r w:rsidR="00BC5DE6" w:rsidRPr="009E1BFA">
        <w:rPr>
          <w:rFonts w:eastAsia="MS PGothic" w:cstheme="minorHAnsi"/>
          <w:b/>
          <w:sz w:val="40"/>
          <w:szCs w:val="40"/>
        </w:rPr>
        <w:t xml:space="preserve"> médicament prescrit par le</w:t>
      </w:r>
      <w:r>
        <w:rPr>
          <w:rFonts w:eastAsia="MS PGothic" w:cstheme="minorHAnsi"/>
          <w:b/>
          <w:sz w:val="40"/>
          <w:szCs w:val="40"/>
        </w:rPr>
        <w:t xml:space="preserve"> médecin de Lola.</w:t>
      </w:r>
      <w:r w:rsidR="00BC5DE6" w:rsidRPr="009E1BFA">
        <w:rPr>
          <w:rFonts w:eastAsia="MS PGothic" w:cstheme="minorHAnsi"/>
          <w:b/>
          <w:sz w:val="40"/>
          <w:szCs w:val="4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84"/>
        <w:gridCol w:w="8342"/>
      </w:tblGrid>
      <w:tr w:rsidR="00E47505" w:rsidRPr="00E47505" w:rsidTr="006343B3"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505" w:rsidRPr="00E47505" w:rsidRDefault="00E47505" w:rsidP="00E47505">
            <w:pPr>
              <w:rPr>
                <w:b/>
              </w:rPr>
            </w:pPr>
            <w:r w:rsidRPr="00E47505">
              <w:t>Doc.1</w:t>
            </w:r>
            <w:r>
              <w:t> : Le médicament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505" w:rsidRPr="00E47505" w:rsidRDefault="00E47505" w:rsidP="00BC5DE6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 w:cstheme="minorHAnsi"/>
                <w:b/>
              </w:rPr>
            </w:pP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505" w:rsidRPr="00E47505" w:rsidRDefault="00E47505" w:rsidP="00E47505">
            <w:pPr>
              <w:shd w:val="clear" w:color="auto" w:fill="FFFFFF"/>
              <w:rPr>
                <w:color w:val="000000"/>
              </w:rPr>
            </w:pPr>
            <w:r w:rsidRPr="00E47505">
              <w:t>Doc.3</w:t>
            </w:r>
            <w:r>
              <w:rPr>
                <w:color w:val="000000"/>
              </w:rPr>
              <w:t xml:space="preserve"> : </w:t>
            </w:r>
            <w:r w:rsidRPr="00E47505">
              <w:rPr>
                <w:color w:val="000000"/>
              </w:rPr>
              <w:t>Comment détecter des ions en solution ?</w:t>
            </w:r>
          </w:p>
        </w:tc>
      </w:tr>
      <w:tr w:rsidR="00E47505" w:rsidTr="006343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505" w:rsidRDefault="00E47505" w:rsidP="00E47505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505" w:rsidRPr="00E47505" w:rsidRDefault="00E47505" w:rsidP="00E47505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7505">
              <w:rPr>
                <w:rFonts w:asciiTheme="minorHAnsi" w:hAnsiTheme="minorHAnsi"/>
                <w:color w:val="000000"/>
                <w:sz w:val="22"/>
                <w:szCs w:val="22"/>
              </w:rPr>
              <w:t>Ce médicament se présente sous la forme de comprimés de couleur rose. Il est mieux absorbé s'il est pris avec un verre d'eau avant les repas.</w:t>
            </w:r>
          </w:p>
          <w:p w:rsidR="00E47505" w:rsidRDefault="00E47505" w:rsidP="00E47505">
            <w:pPr>
              <w:pStyle w:val="NormalWeb"/>
              <w:shd w:val="clear" w:color="auto" w:fill="FFFFFF"/>
              <w:spacing w:after="0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47505" w:rsidRPr="00E47505" w:rsidRDefault="00E47505" w:rsidP="00E47505">
            <w:pPr>
              <w:pStyle w:val="NormalWeb"/>
              <w:shd w:val="clear" w:color="auto" w:fill="FFFFFF"/>
              <w:spacing w:after="0"/>
              <w:contextualSpacing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E475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Effets indésirables possibles :</w:t>
            </w:r>
          </w:p>
          <w:p w:rsidR="00E47505" w:rsidRPr="00E47505" w:rsidRDefault="00E47505" w:rsidP="00E47505">
            <w:pPr>
              <w:pStyle w:val="NormalWeb"/>
              <w:shd w:val="clear" w:color="auto" w:fill="FFFFFF"/>
              <w:spacing w:after="0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75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Fréquents : nausées, </w:t>
            </w:r>
            <w:hyperlink r:id="rId6" w:anchor="constipation" w:history="1">
              <w:r w:rsidRPr="00E4750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constipation</w:t>
              </w:r>
            </w:hyperlink>
            <w:r w:rsidRPr="00E47505">
              <w:rPr>
                <w:rFonts w:asciiTheme="minorHAnsi" w:hAnsiTheme="minorHAnsi"/>
                <w:color w:val="000000"/>
                <w:sz w:val="22"/>
                <w:szCs w:val="22"/>
              </w:rPr>
              <w:t>, douleurs abdominales.</w:t>
            </w:r>
          </w:p>
          <w:p w:rsidR="00E47505" w:rsidRPr="0000116F" w:rsidRDefault="00E47505" w:rsidP="0000116F">
            <w:pPr>
              <w:pStyle w:val="NormalWeb"/>
              <w:shd w:val="clear" w:color="auto" w:fill="FFFFFF"/>
              <w:spacing w:after="0"/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75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Peu fréquents : digestion difficile, vomissements, démangeaisons, </w:t>
            </w:r>
            <w:hyperlink r:id="rId7" w:anchor="eruption-cutanee" w:history="1">
              <w:r w:rsidRPr="00E4750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éruption cutanée</w:t>
              </w:r>
            </w:hyperlink>
            <w:r w:rsidRPr="00E475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505" w:rsidRDefault="00E47505" w:rsidP="00BC5DE6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 w:cstheme="minorHAnsi"/>
                <w:b/>
                <w:sz w:val="40"/>
                <w:szCs w:val="40"/>
              </w:rPr>
            </w:pPr>
            <w:r>
              <w:rPr>
                <w:rFonts w:ascii="MS PGothic" w:eastAsia="MS PGothic" w:hAnsi="MS PGothic"/>
                <w:noProof/>
                <w:lang w:eastAsia="fr-FR"/>
              </w:rPr>
              <w:drawing>
                <wp:inline distT="0" distB="0" distL="0" distR="0" wp14:anchorId="539DF17A" wp14:editId="6D45A4D1">
                  <wp:extent cx="1205700" cy="1935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79" cy="193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505" w:rsidRDefault="00E47505" w:rsidP="00BC5DE6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 w:cstheme="minorHAnsi"/>
                <w:b/>
                <w:sz w:val="40"/>
                <w:szCs w:val="40"/>
              </w:rPr>
            </w:pPr>
          </w:p>
        </w:tc>
        <w:tc>
          <w:tcPr>
            <w:tcW w:w="8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5" w:rsidRPr="00E47505" w:rsidRDefault="00E47505" w:rsidP="00E47505">
            <w:pPr>
              <w:shd w:val="clear" w:color="auto" w:fill="FFFFFF"/>
              <w:rPr>
                <w:color w:val="000000"/>
              </w:rPr>
            </w:pPr>
            <w:r w:rsidRPr="00E47505">
              <w:rPr>
                <w:color w:val="000000"/>
              </w:rPr>
              <w:t xml:space="preserve">Les ions peuvent se détecter en général quand ils sont dans une solution (c'est-à-dire dissous dans de l’eau). </w:t>
            </w:r>
          </w:p>
          <w:p w:rsidR="00E47505" w:rsidRDefault="00E47505" w:rsidP="00E47505">
            <w:pPr>
              <w:shd w:val="clear" w:color="auto" w:fill="FFFFFF"/>
              <w:rPr>
                <w:color w:val="000000"/>
              </w:rPr>
            </w:pPr>
            <w:r w:rsidRPr="00E47505">
              <w:rPr>
                <w:color w:val="000000"/>
              </w:rPr>
              <w:t xml:space="preserve">On utilise pour cela un détecteur d’ions dont on verse quelques gouttes dans la solution à tester (voir schémas). Si un précipité coloré apparaît alors les ions que l’on recherche sont présents (voir tableau). Un précipité est constitué de particules solides.  </w:t>
            </w:r>
            <w:r w:rsidR="00D96ABF">
              <w:rPr>
                <w:color w:val="000000"/>
              </w:rPr>
              <w:t>Si aucun précipité n’apparaî</w:t>
            </w:r>
            <w:r w:rsidRPr="00E47505">
              <w:rPr>
                <w:color w:val="000000"/>
              </w:rPr>
              <w:t>t cela indique que les ions recherchés sont absents de la solution (ou en trop faible quantité pour être détectés).</w:t>
            </w:r>
          </w:p>
          <w:p w:rsidR="00E47505" w:rsidRPr="00E47505" w:rsidRDefault="00E47505" w:rsidP="00E47505">
            <w:pPr>
              <w:shd w:val="clear" w:color="auto" w:fill="FFFFFF"/>
              <w:jc w:val="center"/>
            </w:pPr>
            <w:r>
              <w:rPr>
                <w:rFonts w:ascii="MS PGothic" w:eastAsia="MS PGothic" w:hAnsi="MS PGothic"/>
                <w:noProof/>
                <w:lang w:eastAsia="fr-FR"/>
              </w:rPr>
              <w:drawing>
                <wp:inline distT="0" distB="0" distL="0" distR="0" wp14:anchorId="1E7E4428" wp14:editId="6D09736B">
                  <wp:extent cx="4422140" cy="467550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40" cy="467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505" w:rsidRPr="00E47505" w:rsidTr="006343B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505" w:rsidRPr="00E47505" w:rsidRDefault="00E47505" w:rsidP="00E47505">
            <w:pPr>
              <w:pStyle w:val="NormalWeb"/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505" w:rsidRPr="00E47505" w:rsidRDefault="00E47505" w:rsidP="00E47505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505" w:rsidRPr="00E47505" w:rsidRDefault="00E47505" w:rsidP="00E47505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 w:cstheme="minorHAnsi"/>
                <w:b/>
              </w:rPr>
            </w:pPr>
          </w:p>
        </w:tc>
        <w:tc>
          <w:tcPr>
            <w:tcW w:w="8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5" w:rsidRPr="00E47505" w:rsidRDefault="00E47505" w:rsidP="00E47505">
            <w:pPr>
              <w:shd w:val="clear" w:color="auto" w:fill="FFFFFF"/>
            </w:pPr>
          </w:p>
        </w:tc>
      </w:tr>
      <w:tr w:rsidR="00E47505" w:rsidRPr="00E47505" w:rsidTr="006343B3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505" w:rsidRPr="00E47505" w:rsidRDefault="00E47505" w:rsidP="00E47505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/>
                <w:noProof/>
                <w:lang w:eastAsia="fr-FR"/>
              </w:rPr>
            </w:pPr>
            <w:r>
              <w:t>Doc.2</w:t>
            </w:r>
            <w:r>
              <w:rPr>
                <w:rFonts w:cstheme="minorHAnsi"/>
              </w:rPr>
              <w:t xml:space="preserve"> : </w:t>
            </w:r>
            <w:r w:rsidRPr="00C03C5D">
              <w:rPr>
                <w:rFonts w:cstheme="minorHAnsi"/>
              </w:rPr>
              <w:t xml:space="preserve">Protocole permettant de préparer une solution de </w:t>
            </w:r>
            <w:r>
              <w:rPr>
                <w:rFonts w:cstheme="minorHAnsi"/>
              </w:rPr>
              <w:t>médicament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505" w:rsidRPr="00E47505" w:rsidRDefault="00E47505" w:rsidP="00E47505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 w:cstheme="minorHAnsi"/>
                <w:b/>
              </w:rPr>
            </w:pPr>
          </w:p>
        </w:tc>
        <w:tc>
          <w:tcPr>
            <w:tcW w:w="8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5" w:rsidRPr="00E47505" w:rsidRDefault="00E47505" w:rsidP="00E47505">
            <w:pPr>
              <w:shd w:val="clear" w:color="auto" w:fill="FFFFFF"/>
            </w:pPr>
          </w:p>
        </w:tc>
      </w:tr>
      <w:tr w:rsidR="00E47505" w:rsidRPr="00E47505" w:rsidTr="006343B3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681"/>
            </w:tblGrid>
            <w:tr w:rsidR="006343B3" w:rsidTr="006343B3">
              <w:tc>
                <w:tcPr>
                  <w:tcW w:w="6681" w:type="dxa"/>
                </w:tcPr>
                <w:p w:rsidR="006343B3" w:rsidRPr="00C03C5D" w:rsidRDefault="006343B3" w:rsidP="006343B3">
                  <w:pPr>
                    <w:rPr>
                      <w:rFonts w:ascii="MS PGothic" w:eastAsia="MS PGothic" w:hAnsi="MS PGothic"/>
                    </w:rPr>
                  </w:pPr>
                  <w:r>
                    <w:rPr>
                      <w:rFonts w:ascii="Book Antiqua" w:hAnsi="Book Antiqua"/>
                    </w:rPr>
                    <w:t xml:space="preserve">► </w:t>
                  </w:r>
                  <w:r>
                    <w:t xml:space="preserve">À l’aide du mortier et du pilon, broyer un comprimé de </w:t>
                  </w:r>
                  <w:r>
                    <w:rPr>
                      <w:rFonts w:cstheme="minorHAnsi"/>
                    </w:rPr>
                    <w:t>médicament</w:t>
                  </w:r>
                </w:p>
                <w:p w:rsidR="006343B3" w:rsidRDefault="006343B3" w:rsidP="006343B3">
                  <w:pPr>
                    <w:contextualSpacing/>
                  </w:pPr>
                  <w:r>
                    <w:rPr>
                      <w:rFonts w:ascii="Book Antiqua" w:hAnsi="Book Antiqua"/>
                    </w:rPr>
                    <w:t xml:space="preserve">► </w:t>
                  </w:r>
                  <w:r>
                    <w:t>Verser la poudre obtenue dans un bécher puis verser de l’eau (25mL) et agiter soigneusement le mélange.</w:t>
                  </w:r>
                </w:p>
                <w:p w:rsidR="006343B3" w:rsidRPr="006343B3" w:rsidRDefault="006343B3" w:rsidP="00E47505">
                  <w:pPr>
                    <w:contextualSpacing/>
                  </w:pPr>
                  <w:r>
                    <w:rPr>
                      <w:rFonts w:ascii="Book Antiqua" w:hAnsi="Book Antiqua"/>
                    </w:rPr>
                    <w:t xml:space="preserve">► </w:t>
                  </w:r>
                  <w:r>
                    <w:t>Filtrer le mélange et récupérer la solution dans un tube à essai. Stopper l’opération quand le tube est rempli au tiers.</w:t>
                  </w:r>
                </w:p>
              </w:tc>
            </w:tr>
          </w:tbl>
          <w:p w:rsidR="00E47505" w:rsidRDefault="00E47505" w:rsidP="006343B3">
            <w:pPr>
              <w:contextualSpacing/>
              <w:rPr>
                <w:rFonts w:eastAsia="MS PGothic"/>
                <w:noProof/>
                <w:lang w:eastAsia="fr-FR"/>
              </w:rPr>
            </w:pPr>
          </w:p>
          <w:p w:rsidR="006343B3" w:rsidRPr="009E1BFA" w:rsidRDefault="006343B3" w:rsidP="006343B3">
            <w:pPr>
              <w:tabs>
                <w:tab w:val="left" w:pos="2051"/>
              </w:tabs>
              <w:rPr>
                <w:rFonts w:ascii="MS PGothic" w:eastAsia="MS PGothic" w:hAnsi="MS PGothic"/>
                <w:b/>
              </w:rPr>
            </w:pPr>
            <w:r w:rsidRPr="009E1BFA">
              <w:rPr>
                <w:rFonts w:eastAsia="MS PGothic" w:cstheme="minorHAnsi"/>
                <w:b/>
                <w:sz w:val="40"/>
                <w:szCs w:val="40"/>
              </w:rPr>
              <w:t>Partie 2</w:t>
            </w:r>
          </w:p>
          <w:p w:rsidR="006343B3" w:rsidRPr="0000116F" w:rsidRDefault="006343B3" w:rsidP="006343B3">
            <w:pPr>
              <w:contextualSpacing/>
              <w:rPr>
                <w:sz w:val="16"/>
                <w:szCs w:val="16"/>
              </w:rPr>
            </w:pPr>
          </w:p>
          <w:p w:rsidR="006343B3" w:rsidRDefault="006343B3" w:rsidP="006343B3">
            <w:pPr>
              <w:contextualSpacing/>
            </w:pPr>
            <w:r>
              <w:t xml:space="preserve">1°) En utilisant les trois documents, proposer un </w:t>
            </w:r>
            <w:r w:rsidRPr="009E1BFA">
              <w:rPr>
                <w:b/>
              </w:rPr>
              <w:t>protocole</w:t>
            </w:r>
            <w:r>
              <w:t xml:space="preserve"> expérimental pour démontrer que le médicament prescrit par le médecin sera utile à Lola.</w:t>
            </w:r>
          </w:p>
          <w:p w:rsidR="006343B3" w:rsidRDefault="006343B3" w:rsidP="006343B3">
            <w:pPr>
              <w:contextualSpacing/>
            </w:pPr>
          </w:p>
          <w:p w:rsidR="006343B3" w:rsidRDefault="006343B3" w:rsidP="006343B3">
            <w:pPr>
              <w:contextualSpacing/>
            </w:pPr>
            <w:r>
              <w:t xml:space="preserve">2°) Mettre en </w:t>
            </w:r>
            <w:r w:rsidRPr="004A3114">
              <w:t>œuvre</w:t>
            </w:r>
            <w:r w:rsidRPr="009E1BFA">
              <w:rPr>
                <w:i/>
              </w:rPr>
              <w:t xml:space="preserve"> </w:t>
            </w:r>
            <w:r>
              <w:t>le protocole après validation par le professeur et conclure par une phrase.</w:t>
            </w:r>
          </w:p>
          <w:p w:rsidR="006343B3" w:rsidRPr="00E47505" w:rsidRDefault="006343B3" w:rsidP="006343B3">
            <w:pPr>
              <w:contextualSpacing/>
            </w:pPr>
          </w:p>
          <w:tbl>
            <w:tblPr>
              <w:tblStyle w:val="Grilledutableau"/>
              <w:tblW w:w="5220" w:type="dxa"/>
              <w:jc w:val="center"/>
              <w:tblLook w:val="04A0" w:firstRow="1" w:lastRow="0" w:firstColumn="1" w:lastColumn="0" w:noHBand="0" w:noVBand="1"/>
            </w:tblPr>
            <w:tblGrid>
              <w:gridCol w:w="5220"/>
            </w:tblGrid>
            <w:tr w:rsidR="006343B3" w:rsidRPr="00155ADC" w:rsidTr="006343B3">
              <w:trPr>
                <w:trHeight w:val="234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43B3" w:rsidRPr="00155ADC" w:rsidRDefault="006343B3" w:rsidP="006343B3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155ADC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Compétences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évaluées</w:t>
                  </w:r>
                </w:p>
              </w:tc>
            </w:tr>
            <w:tr w:rsidR="006343B3" w:rsidRPr="00155ADC" w:rsidTr="006343B3">
              <w:trPr>
                <w:trHeight w:val="264"/>
                <w:jc w:val="center"/>
              </w:trPr>
              <w:tc>
                <w:tcPr>
                  <w:tcW w:w="0" w:type="auto"/>
                </w:tcPr>
                <w:p w:rsidR="006343B3" w:rsidRPr="004567A5" w:rsidRDefault="006343B3" w:rsidP="006343B3">
                  <w:pPr>
                    <w:contextualSpacing/>
                  </w:pPr>
                  <w:r>
                    <w:rPr>
                      <w:sz w:val="18"/>
                      <w:szCs w:val="18"/>
                    </w:rPr>
                    <w:t xml:space="preserve">Proposer un protocole expérimental </w:t>
                  </w:r>
                </w:p>
              </w:tc>
            </w:tr>
            <w:tr w:rsidR="006343B3" w:rsidRPr="00155ADC" w:rsidTr="006343B3">
              <w:trPr>
                <w:trHeight w:val="241"/>
                <w:jc w:val="center"/>
              </w:trPr>
              <w:tc>
                <w:tcPr>
                  <w:tcW w:w="0" w:type="auto"/>
                </w:tcPr>
                <w:p w:rsidR="006343B3" w:rsidRPr="004567A5" w:rsidRDefault="006343B3" w:rsidP="006343B3">
                  <w:pPr>
                    <w:contextualSpacing/>
                  </w:pPr>
                  <w:r>
                    <w:rPr>
                      <w:sz w:val="18"/>
                      <w:szCs w:val="18"/>
                    </w:rPr>
                    <w:t>Suivre un protocole expérimental</w:t>
                  </w:r>
                </w:p>
              </w:tc>
            </w:tr>
            <w:tr w:rsidR="0000116F" w:rsidRPr="0000116F" w:rsidTr="006343B3">
              <w:trPr>
                <w:trHeight w:val="241"/>
                <w:jc w:val="center"/>
              </w:trPr>
              <w:tc>
                <w:tcPr>
                  <w:tcW w:w="0" w:type="auto"/>
                </w:tcPr>
                <w:p w:rsidR="0000116F" w:rsidRPr="0000116F" w:rsidRDefault="0000116F" w:rsidP="0000116F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0116F">
                    <w:rPr>
                      <w:rFonts w:asciiTheme="minorHAnsi" w:hAnsiTheme="minorHAnsi"/>
                      <w:sz w:val="18"/>
                      <w:szCs w:val="18"/>
                    </w:rPr>
                    <w:t xml:space="preserve">Communiquer sur ses démarches, ses résultats et ses choix, en argumentant. </w:t>
                  </w:r>
                </w:p>
              </w:tc>
            </w:tr>
          </w:tbl>
          <w:p w:rsidR="006343B3" w:rsidRPr="00E47505" w:rsidRDefault="006343B3" w:rsidP="006343B3">
            <w:pPr>
              <w:contextualSpacing/>
              <w:rPr>
                <w:rFonts w:eastAsia="MS PGothic"/>
                <w:noProof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505" w:rsidRPr="00E47505" w:rsidRDefault="00E47505" w:rsidP="00E47505">
            <w:pPr>
              <w:tabs>
                <w:tab w:val="left" w:pos="217"/>
                <w:tab w:val="center" w:pos="7699"/>
              </w:tabs>
              <w:contextualSpacing/>
              <w:rPr>
                <w:rFonts w:eastAsia="MS PGothic" w:cstheme="minorHAnsi"/>
                <w:b/>
              </w:rPr>
            </w:pPr>
          </w:p>
        </w:tc>
        <w:tc>
          <w:tcPr>
            <w:tcW w:w="8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5" w:rsidRPr="00E47505" w:rsidRDefault="00E47505" w:rsidP="00E47505">
            <w:pPr>
              <w:shd w:val="clear" w:color="auto" w:fill="FFFFFF"/>
            </w:pPr>
          </w:p>
        </w:tc>
      </w:tr>
    </w:tbl>
    <w:p w:rsidR="00067DC7" w:rsidRDefault="00067DC7" w:rsidP="00D96ABF">
      <w:pPr>
        <w:rPr>
          <w:rFonts w:ascii="MS PGothic" w:eastAsia="MS PGothic" w:hAnsi="MS PGothic"/>
        </w:rPr>
      </w:pPr>
      <w:bookmarkStart w:id="0" w:name="_GoBack"/>
      <w:bookmarkEnd w:id="0"/>
    </w:p>
    <w:sectPr w:rsidR="00067DC7" w:rsidSect="00F10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F6" w:rsidRDefault="00C56EF6" w:rsidP="00067DC7">
      <w:pPr>
        <w:spacing w:after="0" w:line="240" w:lineRule="auto"/>
      </w:pPr>
      <w:r>
        <w:separator/>
      </w:r>
    </w:p>
  </w:endnote>
  <w:endnote w:type="continuationSeparator" w:id="0">
    <w:p w:rsidR="00C56EF6" w:rsidRDefault="00C56EF6" w:rsidP="000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F6" w:rsidRDefault="00C56EF6" w:rsidP="00067DC7">
      <w:pPr>
        <w:spacing w:after="0" w:line="240" w:lineRule="auto"/>
      </w:pPr>
      <w:r>
        <w:separator/>
      </w:r>
    </w:p>
  </w:footnote>
  <w:footnote w:type="continuationSeparator" w:id="0">
    <w:p w:rsidR="00C56EF6" w:rsidRDefault="00C56EF6" w:rsidP="0006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43"/>
    <w:rsid w:val="0000116F"/>
    <w:rsid w:val="0005234F"/>
    <w:rsid w:val="00067DC7"/>
    <w:rsid w:val="000E4E09"/>
    <w:rsid w:val="0015406F"/>
    <w:rsid w:val="00186B97"/>
    <w:rsid w:val="001B7EDB"/>
    <w:rsid w:val="001C4E43"/>
    <w:rsid w:val="001E67A8"/>
    <w:rsid w:val="00202C9C"/>
    <w:rsid w:val="00230622"/>
    <w:rsid w:val="0024781B"/>
    <w:rsid w:val="002641D9"/>
    <w:rsid w:val="002B37BE"/>
    <w:rsid w:val="002B61D2"/>
    <w:rsid w:val="002E33C7"/>
    <w:rsid w:val="00310CF1"/>
    <w:rsid w:val="003267C8"/>
    <w:rsid w:val="00340693"/>
    <w:rsid w:val="00344DDA"/>
    <w:rsid w:val="00353C1B"/>
    <w:rsid w:val="003544BC"/>
    <w:rsid w:val="00381FDD"/>
    <w:rsid w:val="00386949"/>
    <w:rsid w:val="003939F5"/>
    <w:rsid w:val="003E631C"/>
    <w:rsid w:val="003E6A14"/>
    <w:rsid w:val="003F4B4D"/>
    <w:rsid w:val="00437ACC"/>
    <w:rsid w:val="0049340F"/>
    <w:rsid w:val="004A3114"/>
    <w:rsid w:val="004A62F4"/>
    <w:rsid w:val="004B5C3B"/>
    <w:rsid w:val="004B73A2"/>
    <w:rsid w:val="00543D09"/>
    <w:rsid w:val="00557E55"/>
    <w:rsid w:val="00571894"/>
    <w:rsid w:val="00593245"/>
    <w:rsid w:val="005E032C"/>
    <w:rsid w:val="005E37D8"/>
    <w:rsid w:val="006343B3"/>
    <w:rsid w:val="00641557"/>
    <w:rsid w:val="006A6F54"/>
    <w:rsid w:val="00701917"/>
    <w:rsid w:val="00751DCA"/>
    <w:rsid w:val="00753000"/>
    <w:rsid w:val="00762743"/>
    <w:rsid w:val="007926A3"/>
    <w:rsid w:val="008D4601"/>
    <w:rsid w:val="008F772B"/>
    <w:rsid w:val="00922B57"/>
    <w:rsid w:val="00962299"/>
    <w:rsid w:val="009D736B"/>
    <w:rsid w:val="009E1BFA"/>
    <w:rsid w:val="00A96DEB"/>
    <w:rsid w:val="00B23F8C"/>
    <w:rsid w:val="00B4241D"/>
    <w:rsid w:val="00B6325E"/>
    <w:rsid w:val="00B92124"/>
    <w:rsid w:val="00BC5DE6"/>
    <w:rsid w:val="00BE45C0"/>
    <w:rsid w:val="00C03C5D"/>
    <w:rsid w:val="00C1772C"/>
    <w:rsid w:val="00C20C84"/>
    <w:rsid w:val="00C3276F"/>
    <w:rsid w:val="00C56EF6"/>
    <w:rsid w:val="00C713EC"/>
    <w:rsid w:val="00D26A07"/>
    <w:rsid w:val="00D5276E"/>
    <w:rsid w:val="00D56CC6"/>
    <w:rsid w:val="00D73565"/>
    <w:rsid w:val="00D95FB2"/>
    <w:rsid w:val="00D96ABF"/>
    <w:rsid w:val="00E12DA2"/>
    <w:rsid w:val="00E47505"/>
    <w:rsid w:val="00E85512"/>
    <w:rsid w:val="00E90AE3"/>
    <w:rsid w:val="00E967C0"/>
    <w:rsid w:val="00EB13C5"/>
    <w:rsid w:val="00F0270D"/>
    <w:rsid w:val="00F10885"/>
    <w:rsid w:val="00F35C8D"/>
    <w:rsid w:val="00F55879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49C"/>
  <w15:docId w15:val="{7625CBF1-DFBD-45FE-9BDA-05608D9C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8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62743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62743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6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7DC7"/>
  </w:style>
  <w:style w:type="paragraph" w:styleId="Pieddepage">
    <w:name w:val="footer"/>
    <w:basedOn w:val="Normal"/>
    <w:link w:val="PieddepageCar"/>
    <w:uiPriority w:val="99"/>
    <w:semiHidden/>
    <w:unhideWhenUsed/>
    <w:rsid w:val="0006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7DC7"/>
  </w:style>
  <w:style w:type="paragraph" w:customStyle="1" w:styleId="Default">
    <w:name w:val="Default"/>
    <w:rsid w:val="0000116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urekasante.vidal.fr/lexique-medical/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ekasante.vidal.fr/lexique-medical/C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BrunoOrange</dc:creator>
  <cp:lastModifiedBy>itarride</cp:lastModifiedBy>
  <cp:revision>10</cp:revision>
  <cp:lastPrinted>2017-11-19T11:11:00Z</cp:lastPrinted>
  <dcterms:created xsi:type="dcterms:W3CDTF">2018-01-05T08:33:00Z</dcterms:created>
  <dcterms:modified xsi:type="dcterms:W3CDTF">2018-01-05T21:43:00Z</dcterms:modified>
</cp:coreProperties>
</file>