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819" w:rsidRPr="00B53C28" w:rsidRDefault="009B3819" w:rsidP="00A070B0">
      <w:pPr>
        <w:spacing w:after="0"/>
        <w:jc w:val="center"/>
        <w:rPr>
          <w:rFonts w:ascii="Times New Roman" w:hAnsi="Times New Roman" w:cs="Times New Roman"/>
          <w:b/>
          <w:sz w:val="28"/>
          <w:szCs w:val="28"/>
        </w:rPr>
      </w:pPr>
      <w:r w:rsidRPr="00B53C28">
        <w:rPr>
          <w:rFonts w:ascii="Times New Roman" w:hAnsi="Times New Roman" w:cs="Times New Roman"/>
          <w:b/>
          <w:sz w:val="28"/>
          <w:szCs w:val="28"/>
        </w:rPr>
        <w:t xml:space="preserve">Difficultés rencontrées par les élèves lors de l’apprentissage du chapitre 1.1 de sociologie de TES et </w:t>
      </w:r>
      <w:r w:rsidRPr="00B53C28">
        <w:rPr>
          <w:rFonts w:ascii="Times New Roman" w:hAnsi="Times New Roman" w:cs="Times New Roman"/>
          <w:b/>
          <w:color w:val="00B050"/>
          <w:sz w:val="28"/>
          <w:szCs w:val="28"/>
        </w:rPr>
        <w:t>quelques solutions</w:t>
      </w:r>
    </w:p>
    <w:p w:rsidR="009B3819" w:rsidRPr="00B53C28" w:rsidRDefault="009B3819" w:rsidP="00A070B0">
      <w:pPr>
        <w:spacing w:after="0"/>
        <w:jc w:val="both"/>
        <w:rPr>
          <w:rFonts w:ascii="Times New Roman" w:hAnsi="Times New Roman" w:cs="Times New Roman"/>
          <w:sz w:val="24"/>
          <w:szCs w:val="24"/>
        </w:rPr>
      </w:pPr>
    </w:p>
    <w:p w:rsidR="009B3819" w:rsidRDefault="009B3819" w:rsidP="00A070B0">
      <w:pPr>
        <w:spacing w:after="0"/>
        <w:jc w:val="both"/>
        <w:rPr>
          <w:rFonts w:ascii="Times New Roman" w:hAnsi="Times New Roman" w:cs="Times New Roman"/>
          <w:b/>
          <w:sz w:val="24"/>
          <w:szCs w:val="24"/>
        </w:rPr>
      </w:pPr>
      <w:r w:rsidRPr="00B53C28">
        <w:rPr>
          <w:rFonts w:ascii="Times New Roman" w:hAnsi="Times New Roman" w:cs="Times New Roman"/>
          <w:b/>
          <w:sz w:val="24"/>
          <w:szCs w:val="24"/>
        </w:rPr>
        <w:t>Sociologie Ch1.1 Comment analyser la structure sociale ?</w:t>
      </w:r>
    </w:p>
    <w:p w:rsidR="00B53C28" w:rsidRPr="00B53C28" w:rsidRDefault="00B53C28" w:rsidP="00A070B0">
      <w:pPr>
        <w:spacing w:after="0"/>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7"/>
        <w:gridCol w:w="6052"/>
      </w:tblGrid>
      <w:tr w:rsidR="009B3819" w:rsidRPr="00C515D8" w:rsidTr="00B53C28">
        <w:trPr>
          <w:trHeight w:val="314"/>
        </w:trPr>
        <w:tc>
          <w:tcPr>
            <w:tcW w:w="0" w:type="auto"/>
          </w:tcPr>
          <w:p w:rsidR="009B3819" w:rsidRPr="00C515D8" w:rsidRDefault="009B3819" w:rsidP="00E31294">
            <w:pPr>
              <w:spacing w:after="0"/>
              <w:jc w:val="center"/>
              <w:rPr>
                <w:rFonts w:ascii="Times New Roman" w:hAnsi="Times New Roman" w:cs="Times New Roman"/>
                <w:b/>
                <w:sz w:val="20"/>
                <w:szCs w:val="20"/>
              </w:rPr>
            </w:pPr>
            <w:r w:rsidRPr="00C515D8">
              <w:rPr>
                <w:rFonts w:ascii="Times New Roman" w:hAnsi="Times New Roman" w:cs="Times New Roman"/>
                <w:b/>
                <w:sz w:val="20"/>
                <w:szCs w:val="20"/>
              </w:rPr>
              <w:t>Notions</w:t>
            </w:r>
          </w:p>
        </w:tc>
        <w:tc>
          <w:tcPr>
            <w:tcW w:w="0" w:type="auto"/>
          </w:tcPr>
          <w:p w:rsidR="009B3819" w:rsidRPr="00C515D8" w:rsidRDefault="009B3819" w:rsidP="00E31294">
            <w:pPr>
              <w:spacing w:after="0"/>
              <w:jc w:val="center"/>
              <w:rPr>
                <w:rFonts w:ascii="Times New Roman" w:hAnsi="Times New Roman" w:cs="Times New Roman"/>
                <w:b/>
                <w:sz w:val="20"/>
                <w:szCs w:val="20"/>
              </w:rPr>
            </w:pPr>
            <w:r w:rsidRPr="00C515D8">
              <w:rPr>
                <w:rFonts w:ascii="Times New Roman" w:hAnsi="Times New Roman" w:cs="Times New Roman"/>
                <w:b/>
                <w:sz w:val="20"/>
                <w:szCs w:val="20"/>
              </w:rPr>
              <w:t>Indications complémentaires</w:t>
            </w:r>
          </w:p>
        </w:tc>
      </w:tr>
      <w:tr w:rsidR="009B3819" w:rsidRPr="00C515D8" w:rsidTr="00B53C28">
        <w:trPr>
          <w:trHeight w:val="2819"/>
        </w:trPr>
        <w:tc>
          <w:tcPr>
            <w:tcW w:w="0" w:type="auto"/>
            <w:vAlign w:val="center"/>
          </w:tcPr>
          <w:p w:rsidR="009B3819" w:rsidRPr="00C515D8" w:rsidRDefault="009B3819" w:rsidP="00B53C28">
            <w:pPr>
              <w:spacing w:after="0"/>
              <w:rPr>
                <w:rFonts w:ascii="Times New Roman" w:hAnsi="Times New Roman" w:cs="Times New Roman"/>
                <w:sz w:val="20"/>
                <w:szCs w:val="20"/>
              </w:rPr>
            </w:pPr>
            <w:r w:rsidRPr="00C515D8">
              <w:rPr>
                <w:rFonts w:ascii="Times New Roman" w:hAnsi="Times New Roman" w:cs="Times New Roman"/>
                <w:sz w:val="20"/>
                <w:szCs w:val="20"/>
              </w:rPr>
              <w:t>Inégalités économiques, inégalités sociales, classes sociales, groupes de statut, catégories socioprofessionnelles</w:t>
            </w:r>
          </w:p>
        </w:tc>
        <w:tc>
          <w:tcPr>
            <w:tcW w:w="0" w:type="auto"/>
          </w:tcPr>
          <w:p w:rsidR="00B53C28" w:rsidRPr="00C515D8" w:rsidRDefault="009B3819" w:rsidP="00A070B0">
            <w:pPr>
              <w:spacing w:after="0"/>
              <w:jc w:val="both"/>
              <w:rPr>
                <w:rFonts w:ascii="Times New Roman" w:hAnsi="Times New Roman" w:cs="Times New Roman"/>
                <w:sz w:val="20"/>
                <w:szCs w:val="20"/>
              </w:rPr>
            </w:pPr>
            <w:r w:rsidRPr="00C515D8">
              <w:rPr>
                <w:rFonts w:ascii="Times New Roman" w:hAnsi="Times New Roman" w:cs="Times New Roman"/>
                <w:sz w:val="20"/>
                <w:szCs w:val="20"/>
              </w:rPr>
              <w:t>On mettra en évidence le caractère multiforme des inégalités économiques et sociales ainsi que leur aspect parfois cumulatif. On procédera à des comparaisons en utilisant les principaux indicateurs et outils appropriés. On présentera les théories des classes et de la stratification sociale dans la tradition sociologique (Marx, Weber) ainsi que leurs prolongements contemporains et on s’interrogera sur leur pertinence pour rendre compte de la dynamique de la structuration sociale. On mettra en évidence la multiplicité des critères de différenciation sociale dans les sociétés post-industrielles (statut professionnel, âge, sexe, style de vie).</w:t>
            </w:r>
          </w:p>
          <w:p w:rsidR="00B53C28" w:rsidRPr="00C515D8" w:rsidRDefault="00B53C28" w:rsidP="00A070B0">
            <w:pPr>
              <w:spacing w:after="0"/>
              <w:jc w:val="both"/>
              <w:rPr>
                <w:rFonts w:ascii="Times New Roman" w:hAnsi="Times New Roman" w:cs="Times New Roman"/>
                <w:sz w:val="20"/>
                <w:szCs w:val="20"/>
              </w:rPr>
            </w:pPr>
          </w:p>
          <w:p w:rsidR="009B3819" w:rsidRPr="00C515D8" w:rsidRDefault="009B3819" w:rsidP="00A070B0">
            <w:pPr>
              <w:spacing w:after="0"/>
              <w:jc w:val="both"/>
              <w:rPr>
                <w:rFonts w:ascii="Times New Roman" w:hAnsi="Times New Roman" w:cs="Times New Roman"/>
                <w:sz w:val="20"/>
                <w:szCs w:val="20"/>
              </w:rPr>
            </w:pPr>
            <w:r w:rsidRPr="00C515D8">
              <w:rPr>
                <w:rFonts w:ascii="Times New Roman" w:hAnsi="Times New Roman" w:cs="Times New Roman"/>
                <w:i/>
                <w:sz w:val="20"/>
                <w:szCs w:val="20"/>
              </w:rPr>
              <w:t>Acquis de première</w:t>
            </w:r>
            <w:r w:rsidRPr="00C515D8">
              <w:rPr>
                <w:rFonts w:ascii="Times New Roman" w:hAnsi="Times New Roman" w:cs="Times New Roman"/>
                <w:sz w:val="20"/>
                <w:szCs w:val="20"/>
              </w:rPr>
              <w:t> : salaire, revenu, profit, revenus de transfert, groupe social.</w:t>
            </w:r>
          </w:p>
        </w:tc>
      </w:tr>
    </w:tbl>
    <w:p w:rsidR="009B3819" w:rsidRPr="00B53C28" w:rsidRDefault="009B3819" w:rsidP="00A070B0">
      <w:pPr>
        <w:spacing w:after="0"/>
        <w:jc w:val="both"/>
        <w:rPr>
          <w:rFonts w:ascii="Times New Roman" w:hAnsi="Times New Roman" w:cs="Times New Roman"/>
          <w:sz w:val="24"/>
          <w:szCs w:val="24"/>
        </w:rPr>
      </w:pPr>
    </w:p>
    <w:p w:rsidR="009E0790" w:rsidRPr="00B53C28" w:rsidRDefault="00BE5906" w:rsidP="00A070B0">
      <w:pPr>
        <w:pStyle w:val="Paragraphedeliste"/>
        <w:numPr>
          <w:ilvl w:val="0"/>
          <w:numId w:val="1"/>
        </w:numPr>
        <w:spacing w:after="0"/>
        <w:rPr>
          <w:rFonts w:ascii="Times New Roman" w:hAnsi="Times New Roman" w:cs="Times New Roman"/>
          <w:b/>
          <w:sz w:val="24"/>
          <w:szCs w:val="24"/>
        </w:rPr>
      </w:pPr>
      <w:r w:rsidRPr="00B53C28">
        <w:rPr>
          <w:rFonts w:ascii="Times New Roman" w:hAnsi="Times New Roman" w:cs="Times New Roman"/>
          <w:b/>
          <w:sz w:val="24"/>
          <w:szCs w:val="24"/>
        </w:rPr>
        <w:t>Outils statistiques :</w:t>
      </w:r>
    </w:p>
    <w:p w:rsidR="00ED2DB1" w:rsidRPr="00B53C28" w:rsidRDefault="00ED2DB1" w:rsidP="0048273D">
      <w:pPr>
        <w:pStyle w:val="Paragraphedeliste"/>
        <w:spacing w:after="0"/>
        <w:jc w:val="both"/>
        <w:rPr>
          <w:rFonts w:ascii="Times New Roman" w:hAnsi="Times New Roman" w:cs="Times New Roman"/>
          <w:sz w:val="24"/>
          <w:szCs w:val="24"/>
        </w:rPr>
      </w:pPr>
      <w:r w:rsidRPr="00B53C28">
        <w:rPr>
          <w:rFonts w:ascii="Times New Roman" w:hAnsi="Times New Roman" w:cs="Times New Roman"/>
          <w:sz w:val="24"/>
          <w:szCs w:val="24"/>
        </w:rPr>
        <w:t xml:space="preserve">Distinction entre les déciles pointés et les déciles moyens </w:t>
      </w:r>
      <w:r w:rsidRPr="00B53C28">
        <w:rPr>
          <w:rFonts w:ascii="Times New Roman" w:hAnsi="Times New Roman" w:cs="Times New Roman"/>
          <w:color w:val="00B050"/>
          <w:sz w:val="24"/>
          <w:szCs w:val="24"/>
        </w:rPr>
        <w:t>Ne présenter que les déciles pointés ??</w:t>
      </w:r>
      <w:r w:rsidRPr="00B53C28">
        <w:rPr>
          <w:rFonts w:ascii="Times New Roman" w:hAnsi="Times New Roman" w:cs="Times New Roman"/>
          <w:sz w:val="24"/>
          <w:szCs w:val="24"/>
        </w:rPr>
        <w:t xml:space="preserve"> </w:t>
      </w:r>
      <w:r w:rsidRPr="00A25343">
        <w:rPr>
          <w:rFonts w:ascii="Times New Roman" w:hAnsi="Times New Roman" w:cs="Times New Roman"/>
          <w:color w:val="FF0000"/>
          <w:sz w:val="24"/>
          <w:szCs w:val="24"/>
        </w:rPr>
        <w:t>Attention</w:t>
      </w:r>
      <w:r w:rsidRPr="00B53C28">
        <w:rPr>
          <w:rFonts w:ascii="Times New Roman" w:hAnsi="Times New Roman" w:cs="Times New Roman"/>
          <w:sz w:val="24"/>
          <w:szCs w:val="24"/>
        </w:rPr>
        <w:t xml:space="preserve"> un document en dissertation au bac (France métropolitaine 2016) avec « D 10 » = décile moyen.</w:t>
      </w:r>
    </w:p>
    <w:p w:rsidR="00BE0A6C" w:rsidRPr="00B53C28" w:rsidRDefault="00BE0A6C" w:rsidP="00ED2DB1">
      <w:pPr>
        <w:pStyle w:val="Paragraphedeliste"/>
        <w:spacing w:after="0"/>
        <w:rPr>
          <w:rFonts w:ascii="Times New Roman" w:hAnsi="Times New Roman" w:cs="Times New Roman"/>
          <w:sz w:val="24"/>
          <w:szCs w:val="24"/>
        </w:rPr>
      </w:pPr>
    </w:p>
    <w:p w:rsidR="004C2271" w:rsidRDefault="004C2271" w:rsidP="00ED2DB1">
      <w:pPr>
        <w:pStyle w:val="Paragraphedeliste"/>
        <w:spacing w:after="0"/>
        <w:rPr>
          <w:rFonts w:ascii="Times New Roman" w:hAnsi="Times New Roman" w:cs="Times New Roman"/>
          <w:color w:val="00B050"/>
          <w:sz w:val="24"/>
          <w:szCs w:val="24"/>
        </w:rPr>
      </w:pPr>
      <w:r w:rsidRPr="00B53C28">
        <w:rPr>
          <w:rFonts w:ascii="Times New Roman" w:hAnsi="Times New Roman" w:cs="Times New Roman"/>
          <w:color w:val="00B050"/>
          <w:sz w:val="24"/>
          <w:szCs w:val="24"/>
        </w:rPr>
        <w:t>Utilisation d’un schéma avec les 10 groupes de 10% et des barres les séparant afin que les élèves constatent qu’il n’existe que 9 bornes.</w:t>
      </w:r>
    </w:p>
    <w:p w:rsidR="0048273D" w:rsidRPr="00B53C28" w:rsidRDefault="0048273D" w:rsidP="00ED2DB1">
      <w:pPr>
        <w:pStyle w:val="Paragraphedeliste"/>
        <w:spacing w:after="0"/>
        <w:rPr>
          <w:rFonts w:ascii="Times New Roman" w:hAnsi="Times New Roman" w:cs="Times New Roman"/>
          <w:color w:val="00B050"/>
          <w:sz w:val="24"/>
          <w:szCs w:val="24"/>
        </w:rPr>
      </w:pPr>
    </w:p>
    <w:p w:rsidR="00AB5789" w:rsidRPr="00B53C28" w:rsidRDefault="00AB5789" w:rsidP="0048273D">
      <w:pPr>
        <w:ind w:left="-567" w:right="-426"/>
        <w:rPr>
          <w:rFonts w:ascii="Times New Roman" w:hAnsi="Times New Roman" w:cs="Times New Roman"/>
          <w:sz w:val="24"/>
          <w:szCs w:val="24"/>
        </w:rPr>
      </w:pPr>
      <w:r w:rsidRPr="00B53C28">
        <w:rPr>
          <w:rFonts w:ascii="Times New Roman" w:hAnsi="Times New Roman" w:cs="Times New Roman"/>
          <w:noProof/>
          <w:sz w:val="24"/>
          <w:szCs w:val="24"/>
        </w:rPr>
        <w:drawing>
          <wp:inline distT="0" distB="0" distL="0" distR="0">
            <wp:extent cx="6290910" cy="1133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19536" cy="1138633"/>
                    </a:xfrm>
                    <a:prstGeom prst="rect">
                      <a:avLst/>
                    </a:prstGeom>
                    <a:noFill/>
                    <a:ln w="9525">
                      <a:noFill/>
                      <a:miter lim="800000"/>
                      <a:headEnd/>
                      <a:tailEnd/>
                    </a:ln>
                  </pic:spPr>
                </pic:pic>
              </a:graphicData>
            </a:graphic>
          </wp:inline>
        </w:drawing>
      </w:r>
    </w:p>
    <w:p w:rsidR="00ED2DB1" w:rsidRPr="00B53C28" w:rsidRDefault="00ED2DB1" w:rsidP="00ED2DB1">
      <w:pPr>
        <w:pStyle w:val="Paragraphedeliste"/>
        <w:spacing w:after="0"/>
        <w:jc w:val="right"/>
        <w:rPr>
          <w:rFonts w:ascii="Times New Roman" w:hAnsi="Times New Roman" w:cs="Times New Roman"/>
          <w:sz w:val="24"/>
          <w:szCs w:val="24"/>
        </w:rPr>
      </w:pPr>
    </w:p>
    <w:p w:rsidR="00BE5906" w:rsidRPr="00B53C28" w:rsidRDefault="00BE5906" w:rsidP="00A070B0">
      <w:pPr>
        <w:pStyle w:val="Paragraphedeliste"/>
        <w:spacing w:after="0"/>
        <w:rPr>
          <w:rFonts w:ascii="Times New Roman" w:hAnsi="Times New Roman" w:cs="Times New Roman"/>
          <w:sz w:val="24"/>
          <w:szCs w:val="24"/>
        </w:rPr>
      </w:pPr>
      <w:r w:rsidRPr="00B53C28">
        <w:rPr>
          <w:rFonts w:ascii="Times New Roman" w:hAnsi="Times New Roman" w:cs="Times New Roman"/>
          <w:sz w:val="24"/>
          <w:szCs w:val="24"/>
        </w:rPr>
        <w:t>Lecture d’une courbe de Lorenz</w:t>
      </w:r>
      <w:r w:rsidR="00ED2DB1" w:rsidRPr="00B53C28">
        <w:rPr>
          <w:rFonts w:ascii="Times New Roman" w:hAnsi="Times New Roman" w:cs="Times New Roman"/>
          <w:sz w:val="24"/>
          <w:szCs w:val="24"/>
        </w:rPr>
        <w:t xml:space="preserve"> </w:t>
      </w:r>
    </w:p>
    <w:p w:rsidR="00ED2DB1" w:rsidRPr="00B53C28" w:rsidRDefault="00ED2DB1" w:rsidP="00ED2DB1">
      <w:pPr>
        <w:pStyle w:val="Paragraphedeliste"/>
        <w:spacing w:after="0"/>
        <w:jc w:val="both"/>
        <w:rPr>
          <w:rFonts w:ascii="Times New Roman" w:hAnsi="Times New Roman" w:cs="Times New Roman"/>
          <w:color w:val="00B050"/>
          <w:sz w:val="24"/>
          <w:szCs w:val="24"/>
        </w:rPr>
      </w:pPr>
      <w:r w:rsidRPr="00B53C28">
        <w:rPr>
          <w:rFonts w:ascii="Times New Roman" w:hAnsi="Times New Roman" w:cs="Times New Roman"/>
          <w:color w:val="00B050"/>
          <w:sz w:val="24"/>
          <w:szCs w:val="24"/>
        </w:rPr>
        <w:t xml:space="preserve">Plusieurs exercices avec des phrases à compléter, utilisation de plusieurs couleurs : une couleur pour montrer la lecture directe, une autre couleur pour montrer les compléments par rapport à 100% = lecture indirecte. Difficile pour le professeur de trouver des courbes de Lorenz (davantage de documents avec les déciles, ou encore avec le coefficient de Gini qui n’est pas au programme). </w:t>
      </w:r>
    </w:p>
    <w:p w:rsidR="00AB5789" w:rsidRPr="00B53C28" w:rsidRDefault="00AB5789" w:rsidP="00ED2DB1">
      <w:pPr>
        <w:pStyle w:val="Paragraphedeliste"/>
        <w:spacing w:after="0"/>
        <w:jc w:val="both"/>
        <w:rPr>
          <w:rFonts w:ascii="Times New Roman" w:hAnsi="Times New Roman" w:cs="Times New Roman"/>
          <w:color w:val="00B050"/>
          <w:sz w:val="24"/>
          <w:szCs w:val="24"/>
        </w:rPr>
      </w:pPr>
    </w:p>
    <w:p w:rsidR="00AB5789" w:rsidRPr="00B53C28" w:rsidRDefault="00AB5789" w:rsidP="00ED2DB1">
      <w:pPr>
        <w:pStyle w:val="Paragraphedeliste"/>
        <w:spacing w:after="0"/>
        <w:jc w:val="both"/>
        <w:rPr>
          <w:rFonts w:ascii="Times New Roman" w:hAnsi="Times New Roman" w:cs="Times New Roman"/>
          <w:color w:val="00B050"/>
          <w:sz w:val="24"/>
          <w:szCs w:val="24"/>
        </w:rPr>
      </w:pPr>
      <w:r w:rsidRPr="00B53C28">
        <w:rPr>
          <w:rFonts w:ascii="Times New Roman" w:hAnsi="Times New Roman" w:cs="Times New Roman"/>
          <w:color w:val="00B050"/>
          <w:sz w:val="24"/>
          <w:szCs w:val="24"/>
        </w:rPr>
        <w:t>2 courbes de Lorenz dans des sujets de bac :</w:t>
      </w:r>
      <w:r w:rsidR="00A25343">
        <w:rPr>
          <w:rFonts w:ascii="Times New Roman" w:hAnsi="Times New Roman" w:cs="Times New Roman"/>
          <w:color w:val="00B050"/>
          <w:sz w:val="24"/>
          <w:szCs w:val="24"/>
        </w:rPr>
        <w:t xml:space="preserve"> </w:t>
      </w:r>
      <w:r w:rsidRPr="00B53C28">
        <w:rPr>
          <w:rFonts w:ascii="Times New Roman" w:hAnsi="Times New Roman" w:cs="Times New Roman"/>
          <w:color w:val="00B050"/>
          <w:sz w:val="24"/>
          <w:szCs w:val="24"/>
        </w:rPr>
        <w:t>Dissertation d’Amérique du Sud de 2016 (données de 2009 et de 2010)</w:t>
      </w:r>
    </w:p>
    <w:p w:rsidR="0048273D" w:rsidRDefault="0048273D" w:rsidP="00BE0A6C">
      <w:pPr>
        <w:spacing w:after="0"/>
        <w:ind w:left="1316" w:right="1749" w:hanging="1203"/>
        <w:rPr>
          <w:rFonts w:ascii="Times New Roman" w:hAnsi="Times New Roman" w:cs="Times New Roman"/>
          <w:b/>
          <w:sz w:val="24"/>
          <w:szCs w:val="24"/>
        </w:rPr>
      </w:pPr>
    </w:p>
    <w:p w:rsidR="00BE0A6C" w:rsidRDefault="00BE0A6C" w:rsidP="00C515D8">
      <w:pPr>
        <w:spacing w:after="0"/>
        <w:ind w:left="1316" w:hanging="1203"/>
        <w:rPr>
          <w:rFonts w:ascii="Times New Roman" w:hAnsi="Times New Roman" w:cs="Times New Roman"/>
          <w:b/>
          <w:sz w:val="24"/>
          <w:szCs w:val="24"/>
        </w:rPr>
      </w:pPr>
      <w:r w:rsidRPr="00B53C28">
        <w:rPr>
          <w:rFonts w:ascii="Times New Roman" w:hAnsi="Times New Roman" w:cs="Times New Roman"/>
          <w:b/>
          <w:sz w:val="24"/>
          <w:szCs w:val="24"/>
        </w:rPr>
        <w:lastRenderedPageBreak/>
        <w:t>Distribution des niveaux de vie</w:t>
      </w:r>
      <w:r w:rsidRPr="00C515D8">
        <w:rPr>
          <w:rFonts w:ascii="Times New Roman" w:hAnsi="Times New Roman" w:cs="Times New Roman"/>
          <w:b/>
          <w:position w:val="11"/>
          <w:sz w:val="16"/>
          <w:szCs w:val="16"/>
        </w:rPr>
        <w:t xml:space="preserve">1 </w:t>
      </w:r>
      <w:r w:rsidRPr="00B53C28">
        <w:rPr>
          <w:rFonts w:ascii="Times New Roman" w:hAnsi="Times New Roman" w:cs="Times New Roman"/>
          <w:b/>
          <w:sz w:val="24"/>
          <w:szCs w:val="24"/>
        </w:rPr>
        <w:t>et des patrimoines</w:t>
      </w:r>
      <w:r w:rsidRPr="00C515D8">
        <w:rPr>
          <w:rFonts w:ascii="Times New Roman" w:hAnsi="Times New Roman" w:cs="Times New Roman"/>
          <w:b/>
          <w:position w:val="11"/>
          <w:sz w:val="16"/>
          <w:szCs w:val="16"/>
        </w:rPr>
        <w:t xml:space="preserve">2 </w:t>
      </w:r>
      <w:r w:rsidRPr="00B53C28">
        <w:rPr>
          <w:rFonts w:ascii="Times New Roman" w:hAnsi="Times New Roman" w:cs="Times New Roman"/>
          <w:b/>
          <w:sz w:val="24"/>
          <w:szCs w:val="24"/>
        </w:rPr>
        <w:t xml:space="preserve">en France </w:t>
      </w:r>
      <w:r w:rsidR="0048273D">
        <w:rPr>
          <w:rFonts w:ascii="Times New Roman" w:hAnsi="Times New Roman" w:cs="Times New Roman"/>
          <w:b/>
          <w:sz w:val="24"/>
          <w:szCs w:val="24"/>
        </w:rPr>
        <w:t>(</w:t>
      </w:r>
      <w:r w:rsidRPr="00B53C28">
        <w:rPr>
          <w:rFonts w:ascii="Times New Roman" w:hAnsi="Times New Roman" w:cs="Times New Roman"/>
          <w:b/>
          <w:sz w:val="24"/>
          <w:szCs w:val="24"/>
        </w:rPr>
        <w:t>courbes de Lorenz)</w:t>
      </w:r>
    </w:p>
    <w:p w:rsidR="0048273D" w:rsidRPr="00B53C28" w:rsidRDefault="0048273D" w:rsidP="00BE0A6C">
      <w:pPr>
        <w:spacing w:after="0"/>
        <w:ind w:left="1316" w:right="1749" w:hanging="1203"/>
        <w:rPr>
          <w:rFonts w:ascii="Times New Roman" w:hAnsi="Times New Roman" w:cs="Times New Roman"/>
          <w:b/>
          <w:sz w:val="24"/>
          <w:szCs w:val="24"/>
        </w:rPr>
      </w:pPr>
    </w:p>
    <w:p w:rsidR="00BE0A6C" w:rsidRDefault="00BE0A6C" w:rsidP="00561112">
      <w:pPr>
        <w:pStyle w:val="Corpsdetexte"/>
        <w:rPr>
          <w:rFonts w:ascii="Times New Roman" w:hAnsi="Times New Roman" w:cs="Times New Roman"/>
        </w:rPr>
      </w:pPr>
      <w:r w:rsidRPr="00B53C28">
        <w:rPr>
          <w:rFonts w:ascii="Times New Roman" w:hAnsi="Times New Roman" w:cs="Times New Roman"/>
          <w:noProof/>
          <w:lang w:val="fr-FR" w:eastAsia="fr-FR"/>
        </w:rPr>
        <w:drawing>
          <wp:inline distT="0" distB="0" distL="0" distR="0">
            <wp:extent cx="5791200" cy="341164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8" cstate="print"/>
                    <a:srcRect/>
                    <a:stretch>
                      <a:fillRect/>
                    </a:stretch>
                  </pic:blipFill>
                  <pic:spPr bwMode="auto">
                    <a:xfrm>
                      <a:off x="0" y="0"/>
                      <a:ext cx="5840107" cy="3440452"/>
                    </a:xfrm>
                    <a:prstGeom prst="rect">
                      <a:avLst/>
                    </a:prstGeom>
                    <a:noFill/>
                    <a:ln w="9525">
                      <a:noFill/>
                      <a:miter lim="800000"/>
                      <a:headEnd/>
                      <a:tailEnd/>
                    </a:ln>
                  </pic:spPr>
                </pic:pic>
              </a:graphicData>
            </a:graphic>
          </wp:inline>
        </w:drawing>
      </w:r>
    </w:p>
    <w:p w:rsidR="00C515D8" w:rsidRPr="00B53C28" w:rsidRDefault="00C515D8" w:rsidP="00BE0A6C">
      <w:pPr>
        <w:pStyle w:val="Corpsdetexte"/>
        <w:ind w:left="1033"/>
        <w:rPr>
          <w:rFonts w:ascii="Times New Roman" w:hAnsi="Times New Roman" w:cs="Times New Roman"/>
        </w:rPr>
      </w:pPr>
    </w:p>
    <w:p w:rsidR="00BE0A6C" w:rsidRDefault="00BE0A6C" w:rsidP="00C515D8">
      <w:pPr>
        <w:spacing w:after="0"/>
        <w:rPr>
          <w:rFonts w:ascii="Times New Roman" w:hAnsi="Times New Roman" w:cs="Times New Roman"/>
          <w:sz w:val="24"/>
          <w:szCs w:val="24"/>
        </w:rPr>
      </w:pPr>
      <w:r w:rsidRPr="00B53C28">
        <w:rPr>
          <w:rFonts w:ascii="Times New Roman" w:hAnsi="Times New Roman" w:cs="Times New Roman"/>
          <w:sz w:val="24"/>
          <w:szCs w:val="24"/>
        </w:rPr>
        <w:t xml:space="preserve">Source : D’après </w:t>
      </w:r>
      <w:r w:rsidRPr="00B53C28">
        <w:rPr>
          <w:rFonts w:ascii="Times New Roman" w:hAnsi="Times New Roman" w:cs="Times New Roman"/>
          <w:i/>
          <w:sz w:val="24"/>
          <w:szCs w:val="24"/>
        </w:rPr>
        <w:t xml:space="preserve">Enquête patrimoine 2010 </w:t>
      </w:r>
      <w:r w:rsidRPr="00B53C28">
        <w:rPr>
          <w:rFonts w:ascii="Times New Roman" w:hAnsi="Times New Roman" w:cs="Times New Roman"/>
          <w:sz w:val="24"/>
          <w:szCs w:val="24"/>
        </w:rPr>
        <w:t xml:space="preserve">et </w:t>
      </w:r>
      <w:r w:rsidRPr="00C515D8">
        <w:rPr>
          <w:rFonts w:ascii="Times New Roman" w:hAnsi="Times New Roman" w:cs="Times New Roman"/>
          <w:i/>
          <w:sz w:val="24"/>
          <w:szCs w:val="24"/>
        </w:rPr>
        <w:t>Enquête revenus fiscaux 2009</w:t>
      </w:r>
      <w:r w:rsidRPr="00B53C28">
        <w:rPr>
          <w:rFonts w:ascii="Times New Roman" w:hAnsi="Times New Roman" w:cs="Times New Roman"/>
          <w:sz w:val="24"/>
          <w:szCs w:val="24"/>
        </w:rPr>
        <w:t>, INSEE.</w:t>
      </w:r>
    </w:p>
    <w:p w:rsidR="00A25343" w:rsidRPr="00B53C28" w:rsidRDefault="00A25343" w:rsidP="00BE0A6C">
      <w:pPr>
        <w:spacing w:after="0"/>
        <w:ind w:left="1484"/>
        <w:rPr>
          <w:rFonts w:ascii="Times New Roman" w:hAnsi="Times New Roman" w:cs="Times New Roman"/>
          <w:sz w:val="24"/>
          <w:szCs w:val="24"/>
        </w:rPr>
      </w:pPr>
    </w:p>
    <w:p w:rsidR="00BE0A6C" w:rsidRPr="00C515D8" w:rsidRDefault="00BE0A6C" w:rsidP="00C515D8">
      <w:pPr>
        <w:pStyle w:val="Paragraphedeliste"/>
        <w:widowControl w:val="0"/>
        <w:numPr>
          <w:ilvl w:val="0"/>
          <w:numId w:val="2"/>
        </w:numPr>
        <w:tabs>
          <w:tab w:val="left" w:pos="399"/>
        </w:tabs>
        <w:spacing w:after="0" w:line="240" w:lineRule="auto"/>
        <w:ind w:right="109" w:hanging="284"/>
        <w:contextualSpacing w:val="0"/>
        <w:jc w:val="both"/>
        <w:rPr>
          <w:rFonts w:ascii="Times New Roman" w:hAnsi="Times New Roman" w:cs="Times New Roman"/>
          <w:sz w:val="20"/>
          <w:szCs w:val="20"/>
        </w:rPr>
      </w:pPr>
      <w:r w:rsidRPr="00C515D8">
        <w:rPr>
          <w:rFonts w:ascii="Times New Roman" w:hAnsi="Times New Roman" w:cs="Times New Roman"/>
          <w:sz w:val="20"/>
          <w:szCs w:val="20"/>
        </w:rPr>
        <w:t>Le niveau de vie, dans le document, correspond au revenu disponible du ménage en tenant compte de sa</w:t>
      </w:r>
      <w:r w:rsidRPr="00C515D8">
        <w:rPr>
          <w:rFonts w:ascii="Times New Roman" w:hAnsi="Times New Roman" w:cs="Times New Roman"/>
          <w:spacing w:val="-4"/>
          <w:sz w:val="20"/>
          <w:szCs w:val="20"/>
        </w:rPr>
        <w:t xml:space="preserve"> </w:t>
      </w:r>
      <w:r w:rsidRPr="00C515D8">
        <w:rPr>
          <w:rFonts w:ascii="Times New Roman" w:hAnsi="Times New Roman" w:cs="Times New Roman"/>
          <w:sz w:val="20"/>
          <w:szCs w:val="20"/>
        </w:rPr>
        <w:t>taille.</w:t>
      </w:r>
    </w:p>
    <w:p w:rsidR="00BE0A6C" w:rsidRPr="00C515D8" w:rsidRDefault="00BE0A6C" w:rsidP="00C515D8">
      <w:pPr>
        <w:pStyle w:val="Paragraphedeliste"/>
        <w:widowControl w:val="0"/>
        <w:numPr>
          <w:ilvl w:val="0"/>
          <w:numId w:val="2"/>
        </w:numPr>
        <w:tabs>
          <w:tab w:val="left" w:pos="399"/>
        </w:tabs>
        <w:spacing w:after="0" w:line="240" w:lineRule="auto"/>
        <w:ind w:hanging="284"/>
        <w:contextualSpacing w:val="0"/>
        <w:jc w:val="both"/>
        <w:rPr>
          <w:rFonts w:ascii="Times New Roman" w:hAnsi="Times New Roman" w:cs="Times New Roman"/>
          <w:sz w:val="20"/>
          <w:szCs w:val="20"/>
        </w:rPr>
      </w:pPr>
      <w:r w:rsidRPr="00C515D8">
        <w:rPr>
          <w:rFonts w:ascii="Times New Roman" w:hAnsi="Times New Roman" w:cs="Times New Roman"/>
          <w:sz w:val="20"/>
          <w:szCs w:val="20"/>
        </w:rPr>
        <w:t>Le patrimoine détenu comprend notamment les biens immobiliers et les actifs</w:t>
      </w:r>
      <w:r w:rsidRPr="00C515D8">
        <w:rPr>
          <w:rFonts w:ascii="Times New Roman" w:hAnsi="Times New Roman" w:cs="Times New Roman"/>
          <w:spacing w:val="-20"/>
          <w:sz w:val="20"/>
          <w:szCs w:val="20"/>
        </w:rPr>
        <w:t xml:space="preserve"> </w:t>
      </w:r>
      <w:r w:rsidRPr="00C515D8">
        <w:rPr>
          <w:rFonts w:ascii="Times New Roman" w:hAnsi="Times New Roman" w:cs="Times New Roman"/>
          <w:sz w:val="20"/>
          <w:szCs w:val="20"/>
        </w:rPr>
        <w:t>financiers.</w:t>
      </w:r>
    </w:p>
    <w:p w:rsidR="00BE0A6C" w:rsidRDefault="00BE0A6C" w:rsidP="00BE0A6C">
      <w:pPr>
        <w:spacing w:after="0"/>
        <w:rPr>
          <w:rFonts w:ascii="Times New Roman" w:hAnsi="Times New Roman" w:cs="Times New Roman"/>
          <w:sz w:val="24"/>
          <w:szCs w:val="24"/>
        </w:rPr>
      </w:pPr>
    </w:p>
    <w:p w:rsidR="00561112" w:rsidRDefault="00561112" w:rsidP="00BE0A6C">
      <w:pPr>
        <w:spacing w:after="0"/>
        <w:rPr>
          <w:rFonts w:ascii="Times New Roman" w:hAnsi="Times New Roman" w:cs="Times New Roman"/>
          <w:i/>
          <w:sz w:val="24"/>
          <w:szCs w:val="24"/>
          <w:u w:val="single"/>
        </w:rPr>
      </w:pPr>
    </w:p>
    <w:p w:rsidR="00C515D8" w:rsidRPr="00B53C28" w:rsidRDefault="00C515D8" w:rsidP="00BE0A6C">
      <w:pPr>
        <w:spacing w:after="0"/>
        <w:rPr>
          <w:rFonts w:ascii="Times New Roman" w:hAnsi="Times New Roman" w:cs="Times New Roman"/>
          <w:sz w:val="24"/>
          <w:szCs w:val="24"/>
        </w:rPr>
      </w:pPr>
      <w:r w:rsidRPr="00C515D8">
        <w:rPr>
          <w:rFonts w:ascii="Times New Roman" w:hAnsi="Times New Roman" w:cs="Times New Roman"/>
          <w:i/>
          <w:sz w:val="24"/>
          <w:szCs w:val="24"/>
          <w:u w:val="single"/>
        </w:rPr>
        <w:t>Ajout du webmestre.</w:t>
      </w:r>
      <w:r w:rsidRPr="00C515D8">
        <w:rPr>
          <w:rFonts w:ascii="Times New Roman" w:hAnsi="Times New Roman" w:cs="Times New Roman"/>
          <w:i/>
          <w:sz w:val="24"/>
          <w:szCs w:val="24"/>
        </w:rPr>
        <w:t xml:space="preserve"> </w:t>
      </w:r>
      <w:r>
        <w:rPr>
          <w:rFonts w:ascii="Times New Roman" w:hAnsi="Times New Roman" w:cs="Times New Roman"/>
          <w:sz w:val="24"/>
          <w:szCs w:val="24"/>
        </w:rPr>
        <w:t>On peut aussi trouver</w:t>
      </w:r>
      <w:r w:rsidR="00464289">
        <w:rPr>
          <w:rFonts w:ascii="Times New Roman" w:hAnsi="Times New Roman" w:cs="Times New Roman"/>
          <w:sz w:val="24"/>
          <w:szCs w:val="24"/>
        </w:rPr>
        <w:t>…</w:t>
      </w:r>
    </w:p>
    <w:p w:rsidR="00464289" w:rsidRDefault="00464289" w:rsidP="00464289">
      <w:pPr>
        <w:snapToGrid w:val="0"/>
        <w:spacing w:after="0" w:line="240" w:lineRule="auto"/>
        <w:jc w:val="both"/>
        <w:rPr>
          <w:rFonts w:ascii="Times New Roman" w:eastAsia="SimSun" w:hAnsi="Times New Roman"/>
          <w:b/>
          <w:sz w:val="24"/>
          <w:szCs w:val="24"/>
          <w:lang w:eastAsia="zh-CN"/>
        </w:rPr>
      </w:pPr>
    </w:p>
    <w:p w:rsidR="00561112" w:rsidRDefault="00600C76" w:rsidP="00464289">
      <w:pPr>
        <w:snapToGrid w:val="0"/>
        <w:spacing w:after="0" w:line="240" w:lineRule="auto"/>
        <w:jc w:val="both"/>
        <w:rPr>
          <w:rFonts w:ascii="Times New Roman" w:eastAsia="SimSun" w:hAnsi="Times New Roman"/>
          <w:b/>
          <w:sz w:val="24"/>
          <w:szCs w:val="24"/>
          <w:lang w:eastAsia="zh-CN"/>
        </w:rPr>
      </w:pPr>
      <w:hyperlink r:id="rId9" w:history="1">
        <w:r w:rsidRPr="00CB4CB6">
          <w:rPr>
            <w:rStyle w:val="Lienhypertexte"/>
            <w:rFonts w:ascii="Times New Roman" w:eastAsia="SimSun" w:hAnsi="Times New Roman"/>
            <w:b/>
            <w:sz w:val="24"/>
            <w:szCs w:val="24"/>
            <w:lang w:eastAsia="zh-CN"/>
          </w:rPr>
          <w:t>https://www.pedagogie.ac-aix-marseille.fr/jcms/c_266892/fr/courbes-de-lorenz</w:t>
        </w:r>
      </w:hyperlink>
    </w:p>
    <w:p w:rsidR="00600C76" w:rsidRDefault="00600C76" w:rsidP="00464289">
      <w:pPr>
        <w:snapToGrid w:val="0"/>
        <w:spacing w:after="0" w:line="240" w:lineRule="auto"/>
        <w:jc w:val="both"/>
        <w:rPr>
          <w:rFonts w:ascii="Times New Roman" w:eastAsia="SimSun" w:hAnsi="Times New Roman"/>
          <w:b/>
          <w:sz w:val="24"/>
          <w:szCs w:val="24"/>
          <w:lang w:eastAsia="zh-CN"/>
        </w:rPr>
      </w:pPr>
    </w:p>
    <w:p w:rsidR="00561112" w:rsidRDefault="00561112" w:rsidP="00464289">
      <w:pPr>
        <w:snapToGrid w:val="0"/>
        <w:spacing w:after="0" w:line="240" w:lineRule="auto"/>
        <w:jc w:val="both"/>
        <w:rPr>
          <w:rFonts w:ascii="Times New Roman" w:eastAsia="SimSun" w:hAnsi="Times New Roman"/>
          <w:b/>
          <w:sz w:val="24"/>
          <w:szCs w:val="24"/>
          <w:lang w:eastAsia="zh-CN"/>
        </w:rPr>
      </w:pPr>
    </w:p>
    <w:p w:rsidR="00561112" w:rsidRDefault="00464289" w:rsidP="00464289">
      <w:pPr>
        <w:snapToGrid w:val="0"/>
        <w:spacing w:after="0" w:line="240" w:lineRule="auto"/>
        <w:jc w:val="both"/>
        <w:rPr>
          <w:rFonts w:ascii="Times New Roman" w:eastAsia="SimSun" w:hAnsi="Times New Roman"/>
          <w:b/>
          <w:sz w:val="24"/>
          <w:szCs w:val="24"/>
          <w:lang w:eastAsia="zh-CN"/>
        </w:rPr>
      </w:pPr>
      <w:r w:rsidRPr="009B3864">
        <w:rPr>
          <w:rFonts w:ascii="Times New Roman" w:eastAsia="SimSun" w:hAnsi="Times New Roman"/>
          <w:b/>
          <w:sz w:val="24"/>
          <w:szCs w:val="24"/>
          <w:lang w:eastAsia="zh-CN"/>
        </w:rPr>
        <w:t>Question : Vous présenterez le document puis vous montrerez l’ampleur des inégalités économiques en France en 2009 et 2010.</w:t>
      </w:r>
    </w:p>
    <w:p w:rsidR="00561112" w:rsidRDefault="00561112" w:rsidP="00464289">
      <w:pPr>
        <w:snapToGrid w:val="0"/>
        <w:spacing w:after="0" w:line="240" w:lineRule="auto"/>
        <w:jc w:val="both"/>
        <w:rPr>
          <w:rFonts w:ascii="Times New Roman" w:eastAsia="SimSun" w:hAnsi="Times New Roman"/>
          <w:b/>
          <w:sz w:val="24"/>
          <w:szCs w:val="24"/>
          <w:lang w:eastAsia="zh-CN"/>
        </w:rPr>
      </w:pPr>
    </w:p>
    <w:p w:rsidR="00561112" w:rsidRDefault="00561112" w:rsidP="00464289">
      <w:pPr>
        <w:snapToGrid w:val="0"/>
        <w:spacing w:after="0" w:line="240" w:lineRule="auto"/>
        <w:jc w:val="both"/>
        <w:rPr>
          <w:rFonts w:ascii="Times New Roman" w:eastAsia="SimSun" w:hAnsi="Times New Roman"/>
          <w:b/>
          <w:sz w:val="24"/>
          <w:szCs w:val="24"/>
          <w:lang w:eastAsia="zh-CN"/>
        </w:rPr>
      </w:pPr>
      <w:r>
        <w:rPr>
          <w:rFonts w:ascii="Times New Roman" w:eastAsia="SimSun" w:hAnsi="Times New Roman"/>
          <w:b/>
          <w:sz w:val="24"/>
          <w:szCs w:val="24"/>
          <w:lang w:eastAsia="zh-CN"/>
        </w:rPr>
        <w:br w:type="page"/>
      </w:r>
    </w:p>
    <w:p w:rsidR="00464289" w:rsidRPr="000D4558" w:rsidRDefault="00464289" w:rsidP="00464289">
      <w:pPr>
        <w:jc w:val="center"/>
        <w:rPr>
          <w:rFonts w:ascii="Times New Roman" w:hAnsi="Times New Roman"/>
          <w:b/>
          <w:sz w:val="24"/>
          <w:szCs w:val="24"/>
        </w:rPr>
      </w:pPr>
      <w:r w:rsidRPr="000D4558">
        <w:rPr>
          <w:rFonts w:ascii="Times New Roman" w:hAnsi="Times New Roman"/>
          <w:b/>
          <w:sz w:val="24"/>
          <w:szCs w:val="24"/>
        </w:rPr>
        <w:t xml:space="preserve">Part </w:t>
      </w:r>
      <w:r w:rsidRPr="000D4558">
        <w:rPr>
          <w:rFonts w:ascii="Times New Roman" w:hAnsi="Times New Roman"/>
          <w:b/>
          <w:sz w:val="24"/>
          <w:szCs w:val="24"/>
          <w:u w:val="dotted"/>
        </w:rPr>
        <w:t>des revenus</w:t>
      </w:r>
      <w:r w:rsidRPr="000D4558">
        <w:rPr>
          <w:rFonts w:ascii="Times New Roman" w:hAnsi="Times New Roman"/>
          <w:b/>
          <w:sz w:val="24"/>
          <w:szCs w:val="24"/>
        </w:rPr>
        <w:t xml:space="preserve"> et </w:t>
      </w:r>
      <w:r w:rsidRPr="000D4558">
        <w:rPr>
          <w:rFonts w:ascii="Times New Roman" w:hAnsi="Times New Roman"/>
          <w:b/>
          <w:sz w:val="24"/>
          <w:szCs w:val="24"/>
          <w:u w:val="single"/>
        </w:rPr>
        <w:t>du patrimoine</w:t>
      </w:r>
      <w:r w:rsidRPr="000D4558">
        <w:rPr>
          <w:rFonts w:ascii="Times New Roman" w:hAnsi="Times New Roman"/>
          <w:b/>
          <w:sz w:val="24"/>
          <w:szCs w:val="24"/>
        </w:rPr>
        <w:t xml:space="preserve"> des ménages (en France)</w:t>
      </w:r>
    </w:p>
    <w:p w:rsidR="00464289" w:rsidRPr="0016563C" w:rsidRDefault="00464289" w:rsidP="00464289">
      <w:pPr>
        <w:ind w:left="-709"/>
        <w:jc w:val="center"/>
        <w:rPr>
          <w:rFonts w:ascii="Times New Roman" w:hAnsi="Times New Roman"/>
          <w:sz w:val="24"/>
          <w:szCs w:val="24"/>
        </w:rPr>
      </w:pPr>
      <w:r w:rsidRPr="0041276C">
        <w:rPr>
          <w:noProof/>
        </w:rPr>
        <w:drawing>
          <wp:inline distT="0" distB="0" distL="0" distR="0">
            <wp:extent cx="5749290" cy="3758565"/>
            <wp:effectExtent l="0" t="0" r="0" b="0"/>
            <wp:docPr id="2"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4289" w:rsidRPr="0073724F" w:rsidRDefault="00464289" w:rsidP="00464289">
      <w:pPr>
        <w:snapToGrid w:val="0"/>
        <w:spacing w:after="0" w:line="240" w:lineRule="auto"/>
        <w:jc w:val="both"/>
        <w:rPr>
          <w:rFonts w:ascii="Times New Roman" w:hAnsi="Times New Roman"/>
        </w:rPr>
      </w:pPr>
      <w:r w:rsidRPr="0073724F">
        <w:rPr>
          <w:rFonts w:ascii="Times New Roman" w:hAnsi="Times New Roman"/>
        </w:rPr>
        <w:t>Champ : France entière 2009 (revenu</w:t>
      </w:r>
      <w:r>
        <w:rPr>
          <w:rFonts w:ascii="Times New Roman" w:hAnsi="Times New Roman"/>
        </w:rPr>
        <w:t xml:space="preserve">, courbe </w:t>
      </w:r>
      <w:r w:rsidRPr="00647E87">
        <w:rPr>
          <w:rFonts w:ascii="Times New Roman" w:hAnsi="Times New Roman"/>
          <w:u w:val="dotted"/>
        </w:rPr>
        <w:t>en pointillés</w:t>
      </w:r>
      <w:r w:rsidRPr="0073724F">
        <w:rPr>
          <w:rFonts w:ascii="Times New Roman" w:hAnsi="Times New Roman"/>
        </w:rPr>
        <w:t>)</w:t>
      </w:r>
      <w:r>
        <w:rPr>
          <w:rFonts w:ascii="Times New Roman" w:hAnsi="Times New Roman"/>
        </w:rPr>
        <w:t xml:space="preserve">, </w:t>
      </w:r>
      <w:r w:rsidRPr="0073724F">
        <w:rPr>
          <w:rFonts w:ascii="Times New Roman" w:hAnsi="Times New Roman"/>
        </w:rPr>
        <w:t>2010 (patrimoine</w:t>
      </w:r>
      <w:r>
        <w:rPr>
          <w:rFonts w:ascii="Times New Roman" w:hAnsi="Times New Roman"/>
        </w:rPr>
        <w:t xml:space="preserve">, courbe </w:t>
      </w:r>
      <w:r w:rsidRPr="00647E87">
        <w:rPr>
          <w:rFonts w:ascii="Times New Roman" w:hAnsi="Times New Roman"/>
          <w:u w:val="single"/>
        </w:rPr>
        <w:t>en trait plein</w:t>
      </w:r>
      <w:r w:rsidRPr="0073724F">
        <w:rPr>
          <w:rFonts w:ascii="Times New Roman" w:hAnsi="Times New Roman"/>
        </w:rPr>
        <w:t>) et [ordonnées], population des ménages [abscisses].</w:t>
      </w:r>
    </w:p>
    <w:p w:rsidR="00464289" w:rsidRPr="0073724F" w:rsidRDefault="00464289" w:rsidP="00464289">
      <w:pPr>
        <w:snapToGrid w:val="0"/>
        <w:spacing w:after="0" w:line="240" w:lineRule="auto"/>
        <w:jc w:val="both"/>
        <w:rPr>
          <w:rFonts w:ascii="Times New Roman" w:hAnsi="Times New Roman"/>
        </w:rPr>
      </w:pPr>
    </w:p>
    <w:p w:rsidR="00464289" w:rsidRPr="0073724F" w:rsidRDefault="00464289" w:rsidP="00464289">
      <w:pPr>
        <w:snapToGrid w:val="0"/>
        <w:spacing w:after="0" w:line="240" w:lineRule="auto"/>
        <w:jc w:val="right"/>
        <w:rPr>
          <w:rFonts w:ascii="Times New Roman" w:hAnsi="Times New Roman"/>
        </w:rPr>
      </w:pPr>
      <w:r w:rsidRPr="0073724F">
        <w:rPr>
          <w:rFonts w:ascii="Times New Roman" w:hAnsi="Times New Roman"/>
        </w:rPr>
        <w:t>Source : P. Froissart, d’après Insee, décembre 2011.</w:t>
      </w:r>
    </w:p>
    <w:p w:rsidR="00464289" w:rsidRPr="00043133" w:rsidRDefault="00464289" w:rsidP="00464289">
      <w:pPr>
        <w:snapToGrid w:val="0"/>
        <w:spacing w:after="0" w:line="240" w:lineRule="auto"/>
        <w:jc w:val="right"/>
        <w:rPr>
          <w:rFonts w:ascii="Times New Roman" w:hAnsi="Times New Roman"/>
        </w:rPr>
      </w:pPr>
      <w:hyperlink r:id="rId11" w:history="1">
        <w:r w:rsidRPr="00043133">
          <w:rPr>
            <w:rStyle w:val="Lienhypertexte"/>
            <w:rFonts w:ascii="Times New Roman" w:hAnsi="Times New Roman"/>
          </w:rPr>
          <w:t>http://www.insee.fr/fr/themes/tableau.asp?reg_id=0&amp;ref_id=NATnon04244</w:t>
        </w:r>
      </w:hyperlink>
    </w:p>
    <w:p w:rsidR="00464289" w:rsidRPr="00202D78" w:rsidRDefault="00464289" w:rsidP="00464289">
      <w:pPr>
        <w:snapToGrid w:val="0"/>
        <w:spacing w:after="0" w:line="240" w:lineRule="auto"/>
        <w:jc w:val="right"/>
        <w:rPr>
          <w:rFonts w:ascii="Times New Roman" w:hAnsi="Times New Roman"/>
        </w:rPr>
      </w:pPr>
      <w:hyperlink r:id="rId12" w:history="1">
        <w:r w:rsidRPr="00043133">
          <w:rPr>
            <w:rStyle w:val="Lienhypertexte"/>
            <w:rFonts w:ascii="Times New Roman" w:hAnsi="Times New Roman"/>
          </w:rPr>
          <w:t>http://www.insee.fr/fr/themes/tableau.asp?reg_id=0&amp;ref_id=NATnon04246</w:t>
        </w:r>
      </w:hyperlink>
    </w:p>
    <w:p w:rsidR="00AB5789" w:rsidRDefault="00AB5789" w:rsidP="00464289">
      <w:pPr>
        <w:spacing w:after="0"/>
        <w:jc w:val="both"/>
        <w:rPr>
          <w:rFonts w:ascii="Times New Roman" w:hAnsi="Times New Roman" w:cs="Times New Roman"/>
          <w:sz w:val="24"/>
          <w:szCs w:val="24"/>
        </w:rPr>
      </w:pPr>
    </w:p>
    <w:p w:rsidR="00464289" w:rsidRDefault="00464289" w:rsidP="00464289">
      <w:pPr>
        <w:spacing w:after="0"/>
        <w:jc w:val="both"/>
        <w:rPr>
          <w:rFonts w:ascii="Times New Roman" w:hAnsi="Times New Roman" w:cs="Times New Roman"/>
          <w:sz w:val="24"/>
          <w:szCs w:val="24"/>
        </w:rPr>
      </w:pPr>
      <w:r>
        <w:rPr>
          <w:rFonts w:ascii="Times New Roman" w:hAnsi="Times New Roman" w:cs="Times New Roman"/>
          <w:sz w:val="24"/>
          <w:szCs w:val="24"/>
        </w:rPr>
        <w:t>… et une proposition de corrigé :</w:t>
      </w:r>
    </w:p>
    <w:p w:rsidR="00464289" w:rsidRDefault="00464289" w:rsidP="00464289">
      <w:pPr>
        <w:spacing w:after="0"/>
        <w:jc w:val="both"/>
        <w:rPr>
          <w:rFonts w:ascii="Times New Roman" w:hAnsi="Times New Roman" w:cs="Times New Roman"/>
          <w:sz w:val="24"/>
          <w:szCs w:val="24"/>
        </w:rPr>
      </w:pPr>
    </w:p>
    <w:p w:rsidR="00DD68E2" w:rsidRPr="005E5248" w:rsidRDefault="00DD68E2" w:rsidP="00DD68E2">
      <w:pPr>
        <w:pStyle w:val="Standard"/>
        <w:rPr>
          <w:bCs/>
          <w:i/>
          <w:color w:val="00B050"/>
          <w:sz w:val="20"/>
          <w:szCs w:val="20"/>
        </w:rPr>
      </w:pPr>
      <w:r w:rsidRPr="005E5248">
        <w:rPr>
          <w:bCs/>
          <w:i/>
          <w:color w:val="00B050"/>
          <w:sz w:val="20"/>
          <w:szCs w:val="20"/>
        </w:rPr>
        <w:t>[Présentation : 1 point]</w:t>
      </w:r>
    </w:p>
    <w:p w:rsidR="00DD68E2" w:rsidRPr="005E5248" w:rsidRDefault="00DD68E2" w:rsidP="00DD68E2">
      <w:pPr>
        <w:pStyle w:val="Standard"/>
        <w:rPr>
          <w:b/>
          <w:bCs/>
          <w:color w:val="00B050"/>
        </w:rPr>
      </w:pPr>
    </w:p>
    <w:p w:rsidR="00DD68E2" w:rsidRPr="005E5248" w:rsidRDefault="00DD68E2" w:rsidP="00DD68E2">
      <w:pPr>
        <w:pStyle w:val="Standard"/>
        <w:ind w:firstLine="708"/>
        <w:jc w:val="both"/>
        <w:rPr>
          <w:color w:val="00B050"/>
        </w:rPr>
      </w:pPr>
      <w:r w:rsidRPr="005E5248">
        <w:rPr>
          <w:color w:val="00B050"/>
        </w:rPr>
        <w:t xml:space="preserve">Le document graphique expose </w:t>
      </w:r>
      <w:r w:rsidRPr="005E5248">
        <w:rPr>
          <w:color w:val="00B050"/>
          <w:u w:val="single"/>
        </w:rPr>
        <w:t>deux</w:t>
      </w:r>
      <w:r w:rsidRPr="005E5248">
        <w:rPr>
          <w:color w:val="00B050"/>
        </w:rPr>
        <w:t xml:space="preserve"> courbes de Lorenz ainsi que la droite d’équirépartition. Réalisé par P. Froissart à partir de données de l’INSEE et daté de décembre 2011, ce graphique met en évidence les pourcentages cumulés croissants de répartition (la distribution) des masses des niveaux de vie (revenu) et du patrimoine sur l’axe des ordonnées, détenues par x % des ménages en France – distribution sur l’axe des abscisses - (respectivement en 2009 et 2010).</w:t>
      </w:r>
      <w:r w:rsidRPr="005E5248">
        <w:rPr>
          <w:rStyle w:val="Appelnotedebasdep"/>
          <w:color w:val="00B050"/>
        </w:rPr>
        <w:footnoteReference w:id="1"/>
      </w:r>
    </w:p>
    <w:p w:rsidR="00DD68E2" w:rsidRPr="005E5248" w:rsidRDefault="00DD68E2" w:rsidP="00DD68E2">
      <w:pPr>
        <w:pStyle w:val="Standard"/>
        <w:jc w:val="both"/>
        <w:rPr>
          <w:color w:val="00B050"/>
        </w:rPr>
      </w:pPr>
    </w:p>
    <w:p w:rsidR="00DD68E2" w:rsidRPr="005E5248" w:rsidRDefault="00DD68E2" w:rsidP="00DD68E2">
      <w:pPr>
        <w:pStyle w:val="Standard"/>
        <w:rPr>
          <w:bCs/>
          <w:i/>
          <w:color w:val="00B050"/>
          <w:sz w:val="20"/>
          <w:szCs w:val="20"/>
        </w:rPr>
      </w:pPr>
      <w:r w:rsidRPr="005E5248">
        <w:rPr>
          <w:bCs/>
          <w:i/>
          <w:color w:val="00B050"/>
          <w:sz w:val="20"/>
          <w:szCs w:val="20"/>
        </w:rPr>
        <w:t>[Cadrage : 0,5 point]</w:t>
      </w:r>
    </w:p>
    <w:p w:rsidR="00DD68E2" w:rsidRPr="005E5248" w:rsidRDefault="00DD68E2" w:rsidP="00DD68E2">
      <w:pPr>
        <w:pStyle w:val="Standard"/>
        <w:jc w:val="both"/>
        <w:rPr>
          <w:color w:val="00B050"/>
        </w:rPr>
      </w:pPr>
    </w:p>
    <w:p w:rsidR="00DD68E2" w:rsidRPr="005E5248" w:rsidRDefault="00DD68E2" w:rsidP="00DD68E2">
      <w:pPr>
        <w:pStyle w:val="Standard"/>
        <w:ind w:firstLine="708"/>
        <w:jc w:val="both"/>
        <w:rPr>
          <w:color w:val="00B050"/>
        </w:rPr>
      </w:pPr>
      <w:r w:rsidRPr="005E5248">
        <w:rPr>
          <w:color w:val="00B050"/>
        </w:rPr>
        <w:t>On peut entendre par :</w:t>
      </w:r>
    </w:p>
    <w:p w:rsidR="00DD68E2" w:rsidRPr="005E5248" w:rsidRDefault="00DD68E2" w:rsidP="00DD68E2">
      <w:pPr>
        <w:pStyle w:val="Standard"/>
        <w:numPr>
          <w:ilvl w:val="0"/>
          <w:numId w:val="4"/>
        </w:numPr>
        <w:jc w:val="both"/>
        <w:rPr>
          <w:color w:val="00B050"/>
        </w:rPr>
      </w:pPr>
      <w:r w:rsidRPr="005E5248">
        <w:rPr>
          <w:color w:val="00B050"/>
        </w:rPr>
        <w:t>niveau de vie, la quantité de biens et de services qu'un ménage ou une personne peut acquérir avec son revenu disponible</w:t>
      </w:r>
      <w:r w:rsidRPr="005E5248">
        <w:rPr>
          <w:rStyle w:val="Appelnotedebasdep"/>
          <w:color w:val="00B050"/>
        </w:rPr>
        <w:footnoteReference w:id="2"/>
      </w:r>
      <w:r w:rsidRPr="005E5248">
        <w:rPr>
          <w:color w:val="00B050"/>
        </w:rPr>
        <w:t>,</w:t>
      </w:r>
    </w:p>
    <w:p w:rsidR="00DD68E2" w:rsidRPr="005E5248" w:rsidRDefault="00DD68E2" w:rsidP="00DD68E2">
      <w:pPr>
        <w:pStyle w:val="Standard"/>
        <w:numPr>
          <w:ilvl w:val="0"/>
          <w:numId w:val="4"/>
        </w:numPr>
        <w:jc w:val="both"/>
        <w:rPr>
          <w:color w:val="00B050"/>
        </w:rPr>
      </w:pPr>
      <w:r w:rsidRPr="005E5248">
        <w:rPr>
          <w:color w:val="00B050"/>
        </w:rPr>
        <w:t>patrimoine, l'ensemble des actifs financiers (actions, obligations, comptes épargne…) et non financiers (biens immobiliers, patrimoine professionnel…).</w:t>
      </w:r>
    </w:p>
    <w:p w:rsidR="00DD68E2" w:rsidRPr="005E5248" w:rsidRDefault="00DD68E2" w:rsidP="00DD68E2">
      <w:pPr>
        <w:pStyle w:val="Standard"/>
        <w:jc w:val="both"/>
        <w:rPr>
          <w:color w:val="00B050"/>
        </w:rPr>
      </w:pPr>
    </w:p>
    <w:p w:rsidR="00DD68E2" w:rsidRPr="005E5248" w:rsidRDefault="00DD68E2" w:rsidP="00DD68E2">
      <w:pPr>
        <w:pStyle w:val="Standard"/>
        <w:rPr>
          <w:bCs/>
          <w:i/>
          <w:color w:val="00B050"/>
          <w:sz w:val="20"/>
          <w:szCs w:val="20"/>
        </w:rPr>
      </w:pPr>
      <w:r w:rsidRPr="005E5248">
        <w:rPr>
          <w:bCs/>
          <w:i/>
          <w:color w:val="00B050"/>
          <w:sz w:val="20"/>
          <w:szCs w:val="20"/>
        </w:rPr>
        <w:t>[Lecture/exploitation : 2,5 points]</w:t>
      </w:r>
    </w:p>
    <w:p w:rsidR="00DD68E2" w:rsidRPr="005E5248" w:rsidRDefault="00DD68E2" w:rsidP="00DD68E2">
      <w:pPr>
        <w:pStyle w:val="Standard"/>
        <w:jc w:val="both"/>
        <w:rPr>
          <w:color w:val="00B050"/>
        </w:rPr>
      </w:pPr>
    </w:p>
    <w:p w:rsidR="00DD68E2" w:rsidRPr="005E5248" w:rsidRDefault="00DD68E2" w:rsidP="00DD68E2">
      <w:pPr>
        <w:pStyle w:val="Standard"/>
        <w:ind w:firstLine="708"/>
        <w:jc w:val="both"/>
        <w:rPr>
          <w:color w:val="00B050"/>
        </w:rPr>
      </w:pPr>
      <w:r w:rsidRPr="005E5248">
        <w:rPr>
          <w:color w:val="00B050"/>
        </w:rPr>
        <w:t xml:space="preserve">La courbe de Lorenz pour le patrimoine est plus éloignée de la diagonale (droite d’équirépartition) que celle du revenu, les inégalités sont alors plus marquées : </w:t>
      </w:r>
    </w:p>
    <w:p w:rsidR="00DD68E2" w:rsidRPr="005E5248" w:rsidRDefault="00DD68E2" w:rsidP="00DD68E2">
      <w:pPr>
        <w:pStyle w:val="Standard"/>
        <w:numPr>
          <w:ilvl w:val="0"/>
          <w:numId w:val="4"/>
        </w:numPr>
        <w:jc w:val="both"/>
        <w:rPr>
          <w:color w:val="00B050"/>
        </w:rPr>
      </w:pPr>
      <w:r w:rsidRPr="005E5248">
        <w:rPr>
          <w:color w:val="00B050"/>
        </w:rPr>
        <w:t>ainsi les 10 % des ménages les plus riches concentrent 48 % du patrimoine (100- 52) mais ne perçoivent « que » 24 % du revenu total (100 – 76),</w:t>
      </w:r>
    </w:p>
    <w:p w:rsidR="00DD68E2" w:rsidRPr="005E5248" w:rsidRDefault="00DD68E2" w:rsidP="00DD68E2">
      <w:pPr>
        <w:pStyle w:val="Standard"/>
        <w:numPr>
          <w:ilvl w:val="0"/>
          <w:numId w:val="4"/>
        </w:numPr>
        <w:jc w:val="both"/>
        <w:rPr>
          <w:color w:val="00B050"/>
        </w:rPr>
      </w:pPr>
      <w:r w:rsidRPr="005E5248">
        <w:rPr>
          <w:color w:val="00B050"/>
        </w:rPr>
        <w:t>pour les ménages les plus pauvres, 40 % perçoivent 22,5% du revenu total distribué mais ne détiennent que 2,4% du patrimoine total.</w:t>
      </w:r>
    </w:p>
    <w:p w:rsidR="00DD68E2" w:rsidRPr="005E5248" w:rsidRDefault="00DD68E2" w:rsidP="00DD68E2">
      <w:pPr>
        <w:pStyle w:val="Standard"/>
        <w:jc w:val="both"/>
        <w:rPr>
          <w:color w:val="00B050"/>
        </w:rPr>
      </w:pPr>
    </w:p>
    <w:p w:rsidR="00DD68E2" w:rsidRPr="005E5248" w:rsidRDefault="00DD68E2" w:rsidP="00DD68E2">
      <w:pPr>
        <w:pStyle w:val="Standard"/>
        <w:ind w:firstLine="708"/>
        <w:jc w:val="both"/>
        <w:rPr>
          <w:color w:val="00B050"/>
        </w:rPr>
      </w:pPr>
      <w:r w:rsidRPr="005E5248">
        <w:rPr>
          <w:color w:val="00B050"/>
        </w:rPr>
        <w:t>La répartition des niveaux de vie est moins inégalitaire en raison des politiques de redistribution.</w:t>
      </w:r>
      <w:r w:rsidR="005E5248">
        <w:rPr>
          <w:color w:val="00B050"/>
        </w:rPr>
        <w:t xml:space="preserve"> </w:t>
      </w:r>
      <w:r w:rsidRPr="005E5248">
        <w:rPr>
          <w:color w:val="00B050"/>
        </w:rPr>
        <w:t>Il n’en demeure pas moins que les inégalités de revenus et de patrimoines se renforcent (renouveau de la polarisation)</w:t>
      </w:r>
      <w:r w:rsidR="005E5248" w:rsidRPr="005E5248">
        <w:rPr>
          <w:color w:val="00B050"/>
        </w:rPr>
        <w:t>.</w:t>
      </w:r>
    </w:p>
    <w:p w:rsidR="00464289" w:rsidRDefault="00464289" w:rsidP="00464289">
      <w:pPr>
        <w:spacing w:after="0"/>
        <w:jc w:val="both"/>
        <w:rPr>
          <w:rFonts w:ascii="Times New Roman" w:hAnsi="Times New Roman" w:cs="Times New Roman"/>
          <w:sz w:val="24"/>
          <w:szCs w:val="24"/>
        </w:rPr>
      </w:pPr>
    </w:p>
    <w:p w:rsidR="00E31294" w:rsidRPr="00464289" w:rsidRDefault="00E31294" w:rsidP="00464289">
      <w:pPr>
        <w:spacing w:after="0"/>
        <w:jc w:val="both"/>
        <w:rPr>
          <w:rFonts w:ascii="Times New Roman" w:hAnsi="Times New Roman" w:cs="Times New Roman"/>
          <w:sz w:val="24"/>
          <w:szCs w:val="24"/>
        </w:rPr>
      </w:pPr>
    </w:p>
    <w:p w:rsidR="00AB5789" w:rsidRPr="00B53C28" w:rsidRDefault="00AB5789" w:rsidP="00ED2DB1">
      <w:pPr>
        <w:pStyle w:val="Paragraphedeliste"/>
        <w:spacing w:after="0"/>
        <w:jc w:val="both"/>
        <w:rPr>
          <w:rFonts w:ascii="Times New Roman" w:hAnsi="Times New Roman" w:cs="Times New Roman"/>
          <w:color w:val="00B050"/>
          <w:sz w:val="24"/>
          <w:szCs w:val="24"/>
        </w:rPr>
      </w:pPr>
      <w:r w:rsidRPr="00B53C28">
        <w:rPr>
          <w:rFonts w:ascii="Times New Roman" w:hAnsi="Times New Roman" w:cs="Times New Roman"/>
          <w:color w:val="00B050"/>
          <w:sz w:val="24"/>
          <w:szCs w:val="24"/>
        </w:rPr>
        <w:t>Raisonnement de Polynésie en 2017 (données de 2014 et de 2015)</w:t>
      </w:r>
    </w:p>
    <w:p w:rsidR="00C515D8" w:rsidRDefault="00C515D8" w:rsidP="00BE0A6C">
      <w:pPr>
        <w:rPr>
          <w:rFonts w:ascii="Times New Roman" w:hAnsi="Times New Roman" w:cs="Times New Roman"/>
          <w:b/>
          <w:sz w:val="24"/>
          <w:szCs w:val="24"/>
        </w:rPr>
      </w:pPr>
    </w:p>
    <w:p w:rsidR="00BE0A6C" w:rsidRPr="00B53C28" w:rsidRDefault="00BE0A6C" w:rsidP="00BE0A6C">
      <w:pPr>
        <w:rPr>
          <w:rFonts w:ascii="Times New Roman" w:hAnsi="Times New Roman" w:cs="Times New Roman"/>
          <w:b/>
          <w:sz w:val="24"/>
          <w:szCs w:val="24"/>
        </w:rPr>
      </w:pPr>
      <w:r w:rsidRPr="00B53C28">
        <w:rPr>
          <w:rFonts w:ascii="Times New Roman" w:hAnsi="Times New Roman" w:cs="Times New Roman"/>
          <w:b/>
          <w:sz w:val="24"/>
          <w:szCs w:val="24"/>
        </w:rPr>
        <w:t>DOCUMENT 1 : La distribution du niveau de vie</w:t>
      </w:r>
      <w:r w:rsidRPr="00B53C28">
        <w:rPr>
          <w:rFonts w:ascii="Times New Roman" w:hAnsi="Times New Roman" w:cs="Times New Roman"/>
          <w:b/>
          <w:sz w:val="24"/>
          <w:szCs w:val="24"/>
          <w:vertAlign w:val="superscript"/>
        </w:rPr>
        <w:t>1</w:t>
      </w:r>
      <w:r w:rsidRPr="00B53C28">
        <w:rPr>
          <w:rFonts w:ascii="Times New Roman" w:hAnsi="Times New Roman" w:cs="Times New Roman"/>
          <w:b/>
          <w:sz w:val="24"/>
          <w:szCs w:val="24"/>
        </w:rPr>
        <w:t xml:space="preserve"> en 2014 et du patrimoine</w:t>
      </w:r>
      <w:r w:rsidRPr="00B53C28">
        <w:rPr>
          <w:rFonts w:ascii="Times New Roman" w:hAnsi="Times New Roman" w:cs="Times New Roman"/>
          <w:b/>
          <w:sz w:val="24"/>
          <w:szCs w:val="24"/>
          <w:vertAlign w:val="superscript"/>
        </w:rPr>
        <w:t>2</w:t>
      </w:r>
      <w:r w:rsidRPr="00B53C28">
        <w:rPr>
          <w:rFonts w:ascii="Times New Roman" w:hAnsi="Times New Roman" w:cs="Times New Roman"/>
          <w:b/>
          <w:sz w:val="24"/>
          <w:szCs w:val="24"/>
        </w:rPr>
        <w:t xml:space="preserve"> en 2015 en France</w:t>
      </w:r>
    </w:p>
    <w:p w:rsidR="00BE0A6C" w:rsidRPr="00B53C28" w:rsidRDefault="00BE0A6C" w:rsidP="00BE0A6C">
      <w:pPr>
        <w:jc w:val="center"/>
        <w:rPr>
          <w:rFonts w:ascii="Times New Roman" w:hAnsi="Times New Roman" w:cs="Times New Roman"/>
          <w:sz w:val="24"/>
          <w:szCs w:val="24"/>
        </w:rPr>
      </w:pPr>
      <w:r w:rsidRPr="00B53C28">
        <w:rPr>
          <w:rFonts w:ascii="Times New Roman" w:hAnsi="Times New Roman" w:cs="Times New Roman"/>
          <w:noProof/>
          <w:sz w:val="24"/>
          <w:szCs w:val="24"/>
        </w:rPr>
        <w:drawing>
          <wp:inline distT="0" distB="0" distL="0" distR="0">
            <wp:extent cx="4421509" cy="2736376"/>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3" cstate="print"/>
                    <a:srcRect/>
                    <a:stretch>
                      <a:fillRect/>
                    </a:stretch>
                  </pic:blipFill>
                  <pic:spPr bwMode="auto">
                    <a:xfrm>
                      <a:off x="0" y="0"/>
                      <a:ext cx="4424799" cy="2738412"/>
                    </a:xfrm>
                    <a:prstGeom prst="rect">
                      <a:avLst/>
                    </a:prstGeom>
                    <a:noFill/>
                    <a:ln w="9525">
                      <a:noFill/>
                      <a:miter lim="800000"/>
                      <a:headEnd/>
                      <a:tailEnd/>
                    </a:ln>
                  </pic:spPr>
                </pic:pic>
              </a:graphicData>
            </a:graphic>
          </wp:inline>
        </w:drawing>
      </w:r>
    </w:p>
    <w:p w:rsidR="00BE0A6C" w:rsidRPr="00B53C28" w:rsidRDefault="00BE0A6C" w:rsidP="00BE0A6C">
      <w:pPr>
        <w:spacing w:after="0"/>
        <w:jc w:val="right"/>
        <w:rPr>
          <w:rFonts w:ascii="Times New Roman" w:hAnsi="Times New Roman" w:cs="Times New Roman"/>
          <w:sz w:val="24"/>
          <w:szCs w:val="24"/>
        </w:rPr>
      </w:pPr>
      <w:r w:rsidRPr="00B53C28">
        <w:rPr>
          <w:rFonts w:ascii="Times New Roman" w:hAnsi="Times New Roman" w:cs="Times New Roman"/>
          <w:sz w:val="24"/>
          <w:szCs w:val="24"/>
        </w:rPr>
        <w:t>Source : INSEE, 2016.</w:t>
      </w:r>
    </w:p>
    <w:p w:rsidR="00BE0A6C" w:rsidRPr="00C515D8" w:rsidRDefault="00BE0A6C" w:rsidP="00BE0A6C">
      <w:pPr>
        <w:pStyle w:val="Paragraphedeliste"/>
        <w:widowControl w:val="0"/>
        <w:numPr>
          <w:ilvl w:val="0"/>
          <w:numId w:val="3"/>
        </w:numPr>
        <w:tabs>
          <w:tab w:val="left" w:pos="301"/>
        </w:tabs>
        <w:spacing w:before="73" w:after="0" w:line="240" w:lineRule="auto"/>
        <w:ind w:right="535"/>
        <w:contextualSpacing w:val="0"/>
        <w:jc w:val="both"/>
        <w:rPr>
          <w:rFonts w:ascii="Times New Roman" w:hAnsi="Times New Roman" w:cs="Times New Roman"/>
          <w:sz w:val="20"/>
          <w:szCs w:val="20"/>
        </w:rPr>
      </w:pPr>
      <w:r w:rsidRPr="00C515D8">
        <w:rPr>
          <w:rFonts w:ascii="Times New Roman" w:hAnsi="Times New Roman" w:cs="Times New Roman"/>
          <w:sz w:val="20"/>
          <w:szCs w:val="20"/>
        </w:rPr>
        <w:t>: Le niveau de vie d’un ménage correspond au revenu disponible du ménage divisé par un indicateur de la taille du</w:t>
      </w:r>
      <w:r w:rsidRPr="00C515D8">
        <w:rPr>
          <w:rFonts w:ascii="Times New Roman" w:hAnsi="Times New Roman" w:cs="Times New Roman"/>
          <w:spacing w:val="-15"/>
          <w:sz w:val="20"/>
          <w:szCs w:val="20"/>
        </w:rPr>
        <w:t xml:space="preserve"> </w:t>
      </w:r>
      <w:r w:rsidRPr="00C515D8">
        <w:rPr>
          <w:rFonts w:ascii="Times New Roman" w:hAnsi="Times New Roman" w:cs="Times New Roman"/>
          <w:sz w:val="20"/>
          <w:szCs w:val="20"/>
        </w:rPr>
        <w:t>ménage.</w:t>
      </w:r>
    </w:p>
    <w:p w:rsidR="00BE0A6C" w:rsidRPr="00C515D8" w:rsidRDefault="00BE0A6C" w:rsidP="00BE0A6C">
      <w:pPr>
        <w:pStyle w:val="Paragraphedeliste"/>
        <w:widowControl w:val="0"/>
        <w:numPr>
          <w:ilvl w:val="0"/>
          <w:numId w:val="3"/>
        </w:numPr>
        <w:tabs>
          <w:tab w:val="left" w:pos="301"/>
        </w:tabs>
        <w:spacing w:before="73" w:after="0" w:line="240" w:lineRule="auto"/>
        <w:ind w:right="535"/>
        <w:contextualSpacing w:val="0"/>
        <w:jc w:val="both"/>
        <w:rPr>
          <w:rFonts w:ascii="Times New Roman" w:hAnsi="Times New Roman" w:cs="Times New Roman"/>
          <w:sz w:val="20"/>
          <w:szCs w:val="20"/>
        </w:rPr>
      </w:pPr>
      <w:r w:rsidRPr="00C515D8">
        <w:rPr>
          <w:rFonts w:ascii="Times New Roman" w:hAnsi="Times New Roman" w:cs="Times New Roman"/>
          <w:sz w:val="20"/>
          <w:szCs w:val="20"/>
        </w:rPr>
        <w:t>: Le patrimoine correspond notamment aux stocks d’actifs financiers (actions, obligations, comptes bancaires…) et immobiliers (logements,</w:t>
      </w:r>
      <w:r w:rsidRPr="00C515D8">
        <w:rPr>
          <w:rFonts w:ascii="Times New Roman" w:hAnsi="Times New Roman" w:cs="Times New Roman"/>
          <w:spacing w:val="-28"/>
          <w:sz w:val="20"/>
          <w:szCs w:val="20"/>
        </w:rPr>
        <w:t xml:space="preserve"> </w:t>
      </w:r>
      <w:r w:rsidRPr="00C515D8">
        <w:rPr>
          <w:rFonts w:ascii="Times New Roman" w:hAnsi="Times New Roman" w:cs="Times New Roman"/>
          <w:sz w:val="20"/>
          <w:szCs w:val="20"/>
        </w:rPr>
        <w:t>terrains…).</w:t>
      </w:r>
    </w:p>
    <w:p w:rsidR="00BE5906" w:rsidRPr="00B53C28" w:rsidRDefault="00BE5906" w:rsidP="00B53C28">
      <w:pPr>
        <w:spacing w:after="0"/>
        <w:rPr>
          <w:rFonts w:ascii="Times New Roman" w:hAnsi="Times New Roman" w:cs="Times New Roman"/>
          <w:sz w:val="24"/>
          <w:szCs w:val="24"/>
        </w:rPr>
      </w:pPr>
    </w:p>
    <w:p w:rsidR="00BE5906" w:rsidRPr="00B53C28" w:rsidRDefault="00BE5906" w:rsidP="00A070B0">
      <w:pPr>
        <w:pStyle w:val="Paragraphedeliste"/>
        <w:numPr>
          <w:ilvl w:val="0"/>
          <w:numId w:val="1"/>
        </w:numPr>
        <w:spacing w:after="0"/>
        <w:rPr>
          <w:rFonts w:ascii="Times New Roman" w:hAnsi="Times New Roman" w:cs="Times New Roman"/>
          <w:b/>
          <w:sz w:val="24"/>
          <w:szCs w:val="24"/>
        </w:rPr>
      </w:pPr>
      <w:r w:rsidRPr="00B53C28">
        <w:rPr>
          <w:rFonts w:ascii="Times New Roman" w:hAnsi="Times New Roman" w:cs="Times New Roman"/>
          <w:b/>
          <w:sz w:val="24"/>
          <w:szCs w:val="24"/>
        </w:rPr>
        <w:t>Notions :</w:t>
      </w:r>
    </w:p>
    <w:p w:rsidR="00BE5906" w:rsidRPr="00B53C28" w:rsidRDefault="00BE5906" w:rsidP="00A070B0">
      <w:pPr>
        <w:pStyle w:val="Paragraphedeliste"/>
        <w:spacing w:after="0"/>
        <w:rPr>
          <w:rFonts w:ascii="Times New Roman" w:hAnsi="Times New Roman" w:cs="Times New Roman"/>
          <w:sz w:val="24"/>
          <w:szCs w:val="24"/>
        </w:rPr>
      </w:pPr>
      <w:r w:rsidRPr="00B53C28">
        <w:rPr>
          <w:rFonts w:ascii="Times New Roman" w:hAnsi="Times New Roman" w:cs="Times New Roman"/>
          <w:sz w:val="24"/>
          <w:szCs w:val="24"/>
        </w:rPr>
        <w:t>Confusions entre classes sociales au sens de Marx et au sens de Weber</w:t>
      </w:r>
    </w:p>
    <w:p w:rsidR="00ED2DB1" w:rsidRPr="00B53C28" w:rsidRDefault="00ED2DB1" w:rsidP="00A070B0">
      <w:pPr>
        <w:pStyle w:val="Paragraphedeliste"/>
        <w:spacing w:after="0"/>
        <w:rPr>
          <w:rFonts w:ascii="Times New Roman" w:hAnsi="Times New Roman" w:cs="Times New Roman"/>
          <w:color w:val="00B050"/>
          <w:sz w:val="24"/>
          <w:szCs w:val="24"/>
        </w:rPr>
      </w:pPr>
      <w:r w:rsidRPr="00B53C28">
        <w:rPr>
          <w:rFonts w:ascii="Times New Roman" w:hAnsi="Times New Roman" w:cs="Times New Roman"/>
          <w:color w:val="00B050"/>
          <w:sz w:val="24"/>
          <w:szCs w:val="24"/>
        </w:rPr>
        <w:t>Tableau d’oppositions</w:t>
      </w:r>
    </w:p>
    <w:p w:rsidR="00BE5906" w:rsidRPr="00B53C28" w:rsidRDefault="00BE5906" w:rsidP="00A070B0">
      <w:pPr>
        <w:pStyle w:val="Paragraphedeliste"/>
        <w:spacing w:after="0"/>
        <w:rPr>
          <w:rFonts w:ascii="Times New Roman" w:hAnsi="Times New Roman" w:cs="Times New Roman"/>
          <w:sz w:val="24"/>
          <w:szCs w:val="24"/>
        </w:rPr>
      </w:pPr>
      <w:r w:rsidRPr="00B53C28">
        <w:rPr>
          <w:rFonts w:ascii="Times New Roman" w:hAnsi="Times New Roman" w:cs="Times New Roman"/>
          <w:sz w:val="24"/>
          <w:szCs w:val="24"/>
        </w:rPr>
        <w:t>Confusion entre classes sociales et catégories socioprofessionnelles</w:t>
      </w:r>
    </w:p>
    <w:p w:rsidR="00ED2DB1" w:rsidRPr="00B53C28" w:rsidRDefault="00ED2DB1" w:rsidP="00A070B0">
      <w:pPr>
        <w:pStyle w:val="Paragraphedeliste"/>
        <w:spacing w:after="0"/>
        <w:rPr>
          <w:rFonts w:ascii="Times New Roman" w:hAnsi="Times New Roman" w:cs="Times New Roman"/>
          <w:color w:val="00B050"/>
          <w:sz w:val="24"/>
          <w:szCs w:val="24"/>
        </w:rPr>
      </w:pPr>
      <w:r w:rsidRPr="00B53C28">
        <w:rPr>
          <w:rFonts w:ascii="Times New Roman" w:hAnsi="Times New Roman" w:cs="Times New Roman"/>
          <w:color w:val="00B050"/>
          <w:sz w:val="24"/>
          <w:szCs w:val="24"/>
        </w:rPr>
        <w:t>Fiches-concept</w:t>
      </w:r>
    </w:p>
    <w:p w:rsidR="00BE5906" w:rsidRPr="00B53C28" w:rsidRDefault="00BE5906" w:rsidP="00A070B0">
      <w:pPr>
        <w:pStyle w:val="Paragraphedeliste"/>
        <w:spacing w:after="0"/>
        <w:rPr>
          <w:rFonts w:ascii="Times New Roman" w:hAnsi="Times New Roman" w:cs="Times New Roman"/>
          <w:sz w:val="24"/>
          <w:szCs w:val="24"/>
        </w:rPr>
      </w:pPr>
      <w:r w:rsidRPr="00B53C28">
        <w:rPr>
          <w:rFonts w:ascii="Times New Roman" w:hAnsi="Times New Roman" w:cs="Times New Roman"/>
          <w:sz w:val="24"/>
          <w:szCs w:val="24"/>
        </w:rPr>
        <w:t>Confusion entre classes sociales et groupes de statut</w:t>
      </w:r>
    </w:p>
    <w:p w:rsidR="00ED2DB1" w:rsidRPr="00B53C28" w:rsidRDefault="00ED2DB1" w:rsidP="00A070B0">
      <w:pPr>
        <w:pStyle w:val="Paragraphedeliste"/>
        <w:spacing w:after="0"/>
        <w:rPr>
          <w:rFonts w:ascii="Times New Roman" w:hAnsi="Times New Roman" w:cs="Times New Roman"/>
          <w:color w:val="00B050"/>
          <w:sz w:val="24"/>
          <w:szCs w:val="24"/>
        </w:rPr>
      </w:pPr>
      <w:r w:rsidRPr="00B53C28">
        <w:rPr>
          <w:rFonts w:ascii="Times New Roman" w:hAnsi="Times New Roman" w:cs="Times New Roman"/>
          <w:color w:val="00B050"/>
          <w:sz w:val="24"/>
          <w:szCs w:val="24"/>
        </w:rPr>
        <w:t>Fiches-concept</w:t>
      </w:r>
    </w:p>
    <w:p w:rsidR="00ED2DB1" w:rsidRPr="00B53C28" w:rsidRDefault="00ED2DB1" w:rsidP="00B53C28">
      <w:pPr>
        <w:spacing w:after="0"/>
        <w:rPr>
          <w:rFonts w:ascii="Times New Roman" w:hAnsi="Times New Roman" w:cs="Times New Roman"/>
          <w:sz w:val="24"/>
          <w:szCs w:val="24"/>
        </w:rPr>
      </w:pPr>
    </w:p>
    <w:p w:rsidR="00BE5906" w:rsidRPr="00B53C28" w:rsidRDefault="00BE5906" w:rsidP="00A070B0">
      <w:pPr>
        <w:pStyle w:val="Paragraphedeliste"/>
        <w:spacing w:after="0"/>
        <w:rPr>
          <w:rFonts w:ascii="Times New Roman" w:hAnsi="Times New Roman" w:cs="Times New Roman"/>
          <w:sz w:val="24"/>
          <w:szCs w:val="24"/>
        </w:rPr>
      </w:pPr>
      <w:r w:rsidRPr="00B53C28">
        <w:rPr>
          <w:rFonts w:ascii="Times New Roman" w:hAnsi="Times New Roman" w:cs="Times New Roman"/>
          <w:sz w:val="24"/>
          <w:szCs w:val="24"/>
        </w:rPr>
        <w:t xml:space="preserve">Conception nominaliste </w:t>
      </w:r>
    </w:p>
    <w:p w:rsidR="0066796B" w:rsidRPr="00B53C28" w:rsidRDefault="0066796B" w:rsidP="00A070B0">
      <w:pPr>
        <w:pStyle w:val="Paragraphedeliste"/>
        <w:spacing w:after="0"/>
        <w:rPr>
          <w:rFonts w:ascii="Times New Roman" w:hAnsi="Times New Roman" w:cs="Times New Roman"/>
          <w:color w:val="00B050"/>
          <w:sz w:val="24"/>
          <w:szCs w:val="24"/>
        </w:rPr>
      </w:pPr>
      <w:r w:rsidRPr="00B53C28">
        <w:rPr>
          <w:rFonts w:ascii="Times New Roman" w:hAnsi="Times New Roman" w:cs="Times New Roman"/>
          <w:color w:val="00B050"/>
          <w:sz w:val="24"/>
          <w:szCs w:val="24"/>
        </w:rPr>
        <w:t>Doc définissant la conception nominaliste</w:t>
      </w:r>
    </w:p>
    <w:p w:rsidR="0066796B" w:rsidRDefault="0066796B" w:rsidP="0066796B">
      <w:pPr>
        <w:pStyle w:val="Paragraphedeliste"/>
        <w:spacing w:after="0"/>
        <w:jc w:val="both"/>
        <w:rPr>
          <w:rFonts w:ascii="Times New Roman" w:hAnsi="Times New Roman" w:cs="Times New Roman"/>
          <w:sz w:val="24"/>
          <w:szCs w:val="24"/>
        </w:rPr>
      </w:pPr>
      <w:r w:rsidRPr="00B53C28">
        <w:rPr>
          <w:rFonts w:ascii="Times New Roman" w:hAnsi="Times New Roman" w:cs="Times New Roman"/>
          <w:sz w:val="24"/>
          <w:szCs w:val="24"/>
        </w:rPr>
        <w:tab/>
        <w:t>Au réalisme marxiste s’oppose le nominalisme wébérien. En effet, sa définition de la clase est restrictive : si elle regroupe des individus se trouvant dans une situation économique semblable ou proche, cette identité de situation sur le plan matériel ne crée pas nécessairement des communautés. Les classes ne sont que des collections d’individus regroupés par le sociologue à des fins de classification et qui peuvent être parfaitement dépourvus de tout sentiment d’identité collective. Ces situations de classes ne forment pas le plus souvent des « communautés », car les relations interpersonnelles pouvant lier tous les individus appartenant à une même classe restent limitées.</w:t>
      </w:r>
    </w:p>
    <w:p w:rsidR="00E31294" w:rsidRPr="00B53C28" w:rsidRDefault="00E31294" w:rsidP="0066796B">
      <w:pPr>
        <w:pStyle w:val="Paragraphedeliste"/>
        <w:spacing w:after="0"/>
        <w:jc w:val="both"/>
        <w:rPr>
          <w:rFonts w:ascii="Times New Roman" w:hAnsi="Times New Roman" w:cs="Times New Roman"/>
          <w:sz w:val="24"/>
          <w:szCs w:val="24"/>
        </w:rPr>
      </w:pPr>
      <w:bookmarkStart w:id="0" w:name="_GoBack"/>
      <w:bookmarkEnd w:id="0"/>
    </w:p>
    <w:p w:rsidR="00A25343" w:rsidRPr="00E31294" w:rsidRDefault="0066796B" w:rsidP="0066796B">
      <w:pPr>
        <w:pStyle w:val="Paragraphedeliste"/>
        <w:spacing w:after="0"/>
        <w:jc w:val="right"/>
        <w:rPr>
          <w:rFonts w:ascii="Times New Roman" w:hAnsi="Times New Roman" w:cs="Times New Roman"/>
        </w:rPr>
      </w:pPr>
      <w:r w:rsidRPr="00E31294">
        <w:rPr>
          <w:rFonts w:ascii="Times New Roman" w:hAnsi="Times New Roman" w:cs="Times New Roman"/>
        </w:rPr>
        <w:t xml:space="preserve">Source : Patrice </w:t>
      </w:r>
      <w:proofErr w:type="spellStart"/>
      <w:r w:rsidRPr="00E31294">
        <w:rPr>
          <w:rFonts w:ascii="Times New Roman" w:hAnsi="Times New Roman" w:cs="Times New Roman"/>
        </w:rPr>
        <w:t>Bonnewitz</w:t>
      </w:r>
      <w:proofErr w:type="spellEnd"/>
      <w:r w:rsidRPr="00E31294">
        <w:rPr>
          <w:rFonts w:ascii="Times New Roman" w:hAnsi="Times New Roman" w:cs="Times New Roman"/>
        </w:rPr>
        <w:t xml:space="preserve">, Classes sociales et inégalités, Bréal, </w:t>
      </w:r>
    </w:p>
    <w:p w:rsidR="0066796B" w:rsidRPr="00E31294" w:rsidRDefault="0066796B" w:rsidP="0066796B">
      <w:pPr>
        <w:pStyle w:val="Paragraphedeliste"/>
        <w:spacing w:after="0"/>
        <w:jc w:val="right"/>
        <w:rPr>
          <w:rFonts w:ascii="Times New Roman" w:hAnsi="Times New Roman" w:cs="Times New Roman"/>
        </w:rPr>
      </w:pPr>
      <w:r w:rsidRPr="00E31294">
        <w:rPr>
          <w:rFonts w:ascii="Times New Roman" w:hAnsi="Times New Roman" w:cs="Times New Roman"/>
        </w:rPr>
        <w:t>coll. Thèmes et débats, 2015 (2</w:t>
      </w:r>
      <w:r w:rsidRPr="00E31294">
        <w:rPr>
          <w:rFonts w:ascii="Times New Roman" w:hAnsi="Times New Roman" w:cs="Times New Roman"/>
          <w:vertAlign w:val="superscript"/>
        </w:rPr>
        <w:t>ème</w:t>
      </w:r>
      <w:r w:rsidRPr="00E31294">
        <w:rPr>
          <w:rFonts w:ascii="Times New Roman" w:hAnsi="Times New Roman" w:cs="Times New Roman"/>
        </w:rPr>
        <w:t xml:space="preserve"> édition). </w:t>
      </w:r>
    </w:p>
    <w:p w:rsidR="00BE5906" w:rsidRDefault="00BE5906" w:rsidP="00A070B0">
      <w:pPr>
        <w:pStyle w:val="Paragraphedeliste"/>
        <w:spacing w:after="0"/>
        <w:rPr>
          <w:rFonts w:ascii="Times New Roman" w:hAnsi="Times New Roman" w:cs="Times New Roman"/>
          <w:sz w:val="24"/>
          <w:szCs w:val="24"/>
        </w:rPr>
      </w:pPr>
    </w:p>
    <w:p w:rsidR="00E31294" w:rsidRPr="00B53C28" w:rsidRDefault="00E31294" w:rsidP="00A070B0">
      <w:pPr>
        <w:pStyle w:val="Paragraphedeliste"/>
        <w:spacing w:after="0"/>
        <w:rPr>
          <w:rFonts w:ascii="Times New Roman" w:hAnsi="Times New Roman" w:cs="Times New Roman"/>
          <w:sz w:val="24"/>
          <w:szCs w:val="24"/>
        </w:rPr>
      </w:pPr>
    </w:p>
    <w:p w:rsidR="00BE5906" w:rsidRPr="00B53C28" w:rsidRDefault="00A070B0" w:rsidP="00AB5789">
      <w:pPr>
        <w:spacing w:after="0"/>
        <w:jc w:val="both"/>
        <w:rPr>
          <w:rFonts w:ascii="Times New Roman" w:hAnsi="Times New Roman" w:cs="Times New Roman"/>
          <w:sz w:val="24"/>
          <w:szCs w:val="24"/>
        </w:rPr>
      </w:pPr>
      <w:r w:rsidRPr="00B53C28">
        <w:rPr>
          <w:rFonts w:ascii="Times New Roman" w:hAnsi="Times New Roman" w:cs="Times New Roman"/>
          <w:sz w:val="24"/>
          <w:szCs w:val="24"/>
        </w:rPr>
        <w:t>Certains élèves trouvent que l</w:t>
      </w:r>
      <w:r w:rsidR="00ED2DB1" w:rsidRPr="00B53C28">
        <w:rPr>
          <w:rFonts w:ascii="Times New Roman" w:hAnsi="Times New Roman" w:cs="Times New Roman"/>
          <w:sz w:val="24"/>
          <w:szCs w:val="24"/>
        </w:rPr>
        <w:t>e</w:t>
      </w:r>
      <w:r w:rsidRPr="00B53C28">
        <w:rPr>
          <w:rFonts w:ascii="Times New Roman" w:hAnsi="Times New Roman" w:cs="Times New Roman"/>
          <w:sz w:val="24"/>
          <w:szCs w:val="24"/>
        </w:rPr>
        <w:t xml:space="preserve"> chapitre est difficile à a</w:t>
      </w:r>
      <w:r w:rsidR="00AB5789" w:rsidRPr="00B53C28">
        <w:rPr>
          <w:rFonts w:ascii="Times New Roman" w:hAnsi="Times New Roman" w:cs="Times New Roman"/>
          <w:sz w:val="24"/>
          <w:szCs w:val="24"/>
        </w:rPr>
        <w:t xml:space="preserve">pprendre à cause de sa longueur, à cause du nombre de concepts. </w:t>
      </w:r>
    </w:p>
    <w:p w:rsidR="00CD3508" w:rsidRPr="00B53C28" w:rsidRDefault="00CD3508" w:rsidP="00A070B0">
      <w:pPr>
        <w:spacing w:after="0"/>
        <w:rPr>
          <w:rFonts w:ascii="Times New Roman" w:hAnsi="Times New Roman" w:cs="Times New Roman"/>
          <w:color w:val="00B050"/>
          <w:sz w:val="24"/>
          <w:szCs w:val="24"/>
        </w:rPr>
      </w:pPr>
      <w:r w:rsidRPr="00B53C28">
        <w:rPr>
          <w:rFonts w:ascii="Times New Roman" w:hAnsi="Times New Roman" w:cs="Times New Roman"/>
          <w:color w:val="00B050"/>
          <w:sz w:val="24"/>
          <w:szCs w:val="24"/>
        </w:rPr>
        <w:t xml:space="preserve">Réalisation d’une carte mentale. </w:t>
      </w:r>
    </w:p>
    <w:sectPr w:rsidR="00CD3508" w:rsidRPr="00B53C28" w:rsidSect="0048273D">
      <w:footerReference w:type="default" r:id="rId14"/>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04A" w:rsidRDefault="0079404A" w:rsidP="00DD68E2">
      <w:pPr>
        <w:spacing w:after="0" w:line="240" w:lineRule="auto"/>
      </w:pPr>
      <w:r>
        <w:separator/>
      </w:r>
    </w:p>
  </w:endnote>
  <w:endnote w:type="continuationSeparator" w:id="0">
    <w:p w:rsidR="0079404A" w:rsidRDefault="0079404A" w:rsidP="00DD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FD8" w:rsidRDefault="00520FD8">
    <w:pPr>
      <w:pStyle w:val="Pieddepag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jap-84_2-1-1_diff-eleves_la-pf</w:t>
    </w:r>
    <w:r>
      <w:rPr>
        <w:rFonts w:ascii="Times New Roman" w:hAnsi="Times New Roman" w:cs="Times New Roman"/>
        <w:sz w:val="20"/>
        <w:szCs w:val="20"/>
      </w:rPr>
      <w:fldChar w:fldCharType="end"/>
    </w:r>
    <w:r w:rsidRPr="00520FD8">
      <w:rPr>
        <w:rFonts w:ascii="Times New Roman" w:hAnsi="Times New Roman" w:cs="Times New Roman"/>
        <w:sz w:val="20"/>
        <w:szCs w:val="20"/>
      </w:rPr>
      <w:ptab w:relativeTo="margin" w:alignment="center" w:leader="none"/>
    </w:r>
    <w:r w:rsidRPr="00520FD8">
      <w:rPr>
        <w:rFonts w:ascii="Times New Roman" w:hAnsi="Times New Roman" w:cs="Times New Roman"/>
        <w:sz w:val="20"/>
        <w:szCs w:val="20"/>
      </w:rPr>
      <w:t xml:space="preserve">Page </w:t>
    </w:r>
    <w:r w:rsidRPr="00520FD8">
      <w:rPr>
        <w:rFonts w:ascii="Times New Roman" w:hAnsi="Times New Roman" w:cs="Times New Roman"/>
        <w:b/>
        <w:bCs/>
        <w:sz w:val="20"/>
        <w:szCs w:val="20"/>
      </w:rPr>
      <w:fldChar w:fldCharType="begin"/>
    </w:r>
    <w:r w:rsidRPr="00520FD8">
      <w:rPr>
        <w:rFonts w:ascii="Times New Roman" w:hAnsi="Times New Roman" w:cs="Times New Roman"/>
        <w:b/>
        <w:bCs/>
        <w:sz w:val="20"/>
        <w:szCs w:val="20"/>
      </w:rPr>
      <w:instrText>PAGE  \* Arabic  \* MERGEFORMAT</w:instrText>
    </w:r>
    <w:r w:rsidRPr="00520FD8">
      <w:rPr>
        <w:rFonts w:ascii="Times New Roman" w:hAnsi="Times New Roman" w:cs="Times New Roman"/>
        <w:b/>
        <w:bCs/>
        <w:sz w:val="20"/>
        <w:szCs w:val="20"/>
      </w:rPr>
      <w:fldChar w:fldCharType="separate"/>
    </w:r>
    <w:r w:rsidRPr="00520FD8">
      <w:rPr>
        <w:rFonts w:ascii="Times New Roman" w:hAnsi="Times New Roman" w:cs="Times New Roman"/>
        <w:b/>
        <w:bCs/>
        <w:sz w:val="20"/>
        <w:szCs w:val="20"/>
      </w:rPr>
      <w:t>1</w:t>
    </w:r>
    <w:r w:rsidRPr="00520FD8">
      <w:rPr>
        <w:rFonts w:ascii="Times New Roman" w:hAnsi="Times New Roman" w:cs="Times New Roman"/>
        <w:b/>
        <w:bCs/>
        <w:sz w:val="20"/>
        <w:szCs w:val="20"/>
      </w:rPr>
      <w:fldChar w:fldCharType="end"/>
    </w:r>
    <w:r w:rsidRPr="00520FD8">
      <w:rPr>
        <w:rFonts w:ascii="Times New Roman" w:hAnsi="Times New Roman" w:cs="Times New Roman"/>
        <w:sz w:val="20"/>
        <w:szCs w:val="20"/>
      </w:rPr>
      <w:t xml:space="preserve"> sur </w:t>
    </w:r>
    <w:r w:rsidRPr="00520FD8">
      <w:rPr>
        <w:rFonts w:ascii="Times New Roman" w:hAnsi="Times New Roman" w:cs="Times New Roman"/>
        <w:b/>
        <w:bCs/>
        <w:sz w:val="20"/>
        <w:szCs w:val="20"/>
      </w:rPr>
      <w:fldChar w:fldCharType="begin"/>
    </w:r>
    <w:r w:rsidRPr="00520FD8">
      <w:rPr>
        <w:rFonts w:ascii="Times New Roman" w:hAnsi="Times New Roman" w:cs="Times New Roman"/>
        <w:b/>
        <w:bCs/>
        <w:sz w:val="20"/>
        <w:szCs w:val="20"/>
      </w:rPr>
      <w:instrText>NUMPAGES  \* Arabic  \* MERGEFORMAT</w:instrText>
    </w:r>
    <w:r w:rsidRPr="00520FD8">
      <w:rPr>
        <w:rFonts w:ascii="Times New Roman" w:hAnsi="Times New Roman" w:cs="Times New Roman"/>
        <w:b/>
        <w:bCs/>
        <w:sz w:val="20"/>
        <w:szCs w:val="20"/>
      </w:rPr>
      <w:fldChar w:fldCharType="separate"/>
    </w:r>
    <w:r w:rsidRPr="00520FD8">
      <w:rPr>
        <w:rFonts w:ascii="Times New Roman" w:hAnsi="Times New Roman" w:cs="Times New Roman"/>
        <w:b/>
        <w:bCs/>
        <w:sz w:val="20"/>
        <w:szCs w:val="20"/>
      </w:rPr>
      <w:t>2</w:t>
    </w:r>
    <w:r w:rsidRPr="00520FD8">
      <w:rPr>
        <w:rFonts w:ascii="Times New Roman" w:hAnsi="Times New Roman" w:cs="Times New Roman"/>
        <w:b/>
        <w:bCs/>
        <w:sz w:val="20"/>
        <w:szCs w:val="20"/>
      </w:rPr>
      <w:fldChar w:fldCharType="end"/>
    </w:r>
  </w:p>
  <w:p w:rsidR="00520FD8" w:rsidRPr="00520FD8" w:rsidRDefault="00520FD8" w:rsidP="00520FD8">
    <w:pPr>
      <w:pStyle w:val="Pieddepage"/>
      <w:jc w:val="right"/>
      <w:rPr>
        <w:rFonts w:ascii="Times New Roman" w:hAnsi="Times New Roman" w:cs="Times New Roman"/>
        <w:sz w:val="20"/>
        <w:szCs w:val="20"/>
      </w:rPr>
    </w:pPr>
    <w:r>
      <w:rPr>
        <w:rFonts w:ascii="Times New Roman" w:hAnsi="Times New Roman" w:cs="Times New Roman"/>
        <w:sz w:val="20"/>
        <w:szCs w:val="20"/>
      </w:rPr>
      <w:t>Aix-Marseille, L. Auffant, P. Froissart, avril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04A" w:rsidRDefault="0079404A" w:rsidP="00DD68E2">
      <w:pPr>
        <w:spacing w:after="0" w:line="240" w:lineRule="auto"/>
      </w:pPr>
      <w:r>
        <w:separator/>
      </w:r>
    </w:p>
  </w:footnote>
  <w:footnote w:type="continuationSeparator" w:id="0">
    <w:p w:rsidR="0079404A" w:rsidRDefault="0079404A" w:rsidP="00DD68E2">
      <w:pPr>
        <w:spacing w:after="0" w:line="240" w:lineRule="auto"/>
      </w:pPr>
      <w:r>
        <w:continuationSeparator/>
      </w:r>
    </w:p>
  </w:footnote>
  <w:footnote w:id="1">
    <w:p w:rsidR="00DD68E2" w:rsidRPr="00B23087" w:rsidRDefault="00DD68E2" w:rsidP="00DD68E2">
      <w:pPr>
        <w:pStyle w:val="Standard"/>
        <w:jc w:val="both"/>
        <w:rPr>
          <w:rFonts w:cs="Times New Roman"/>
          <w:sz w:val="20"/>
          <w:szCs w:val="20"/>
        </w:rPr>
      </w:pPr>
      <w:r w:rsidRPr="00B23087">
        <w:rPr>
          <w:rStyle w:val="Appelnotedebasdep"/>
          <w:rFonts w:cs="Times New Roman"/>
          <w:sz w:val="20"/>
          <w:szCs w:val="20"/>
        </w:rPr>
        <w:footnoteRef/>
      </w:r>
      <w:r w:rsidRPr="00B23087">
        <w:rPr>
          <w:rFonts w:cs="Times New Roman"/>
          <w:sz w:val="20"/>
          <w:szCs w:val="20"/>
        </w:rPr>
        <w:t xml:space="preserve"> Bonus : Les ménages sont classés en abscisses par ordre croissant de niveau de richesse et en ordonnées sont représentés les pourcentages de revenus et patrimoine cumulés.</w:t>
      </w:r>
    </w:p>
  </w:footnote>
  <w:footnote w:id="2">
    <w:p w:rsidR="00DD68E2" w:rsidRPr="00B23087" w:rsidRDefault="00DD68E2" w:rsidP="00DD68E2">
      <w:pPr>
        <w:pStyle w:val="Notedebasdepage"/>
        <w:spacing w:after="0" w:line="240" w:lineRule="auto"/>
        <w:jc w:val="both"/>
        <w:rPr>
          <w:rFonts w:ascii="Times New Roman" w:hAnsi="Times New Roman"/>
        </w:rPr>
      </w:pPr>
      <w:r w:rsidRPr="00B23087">
        <w:rPr>
          <w:rStyle w:val="Appelnotedebasdep"/>
          <w:rFonts w:ascii="Times New Roman" w:hAnsi="Times New Roman"/>
        </w:rPr>
        <w:footnoteRef/>
      </w:r>
      <w:r w:rsidRPr="00B23087">
        <w:rPr>
          <w:rFonts w:ascii="Times New Roman" w:hAnsi="Times New Roman"/>
        </w:rPr>
        <w:t xml:space="preserve">  Bonus :[revenu primaire - (impôts + cotisations sociales) + prestations sociales],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50DF"/>
    <w:multiLevelType w:val="hybridMultilevel"/>
    <w:tmpl w:val="697083C4"/>
    <w:lvl w:ilvl="0" w:tplc="040C000F">
      <w:start w:val="1"/>
      <w:numFmt w:val="decimal"/>
      <w:lvlText w:val="%1."/>
      <w:lvlJc w:val="left"/>
      <w:pPr>
        <w:ind w:left="651" w:hanging="360"/>
      </w:pPr>
      <w:rPr>
        <w:rFonts w:cs="Times New Roman"/>
      </w:rPr>
    </w:lvl>
    <w:lvl w:ilvl="1" w:tplc="040C0019" w:tentative="1">
      <w:start w:val="1"/>
      <w:numFmt w:val="lowerLetter"/>
      <w:lvlText w:val="%2."/>
      <w:lvlJc w:val="left"/>
      <w:pPr>
        <w:ind w:left="1371" w:hanging="360"/>
      </w:pPr>
      <w:rPr>
        <w:rFonts w:cs="Times New Roman"/>
      </w:rPr>
    </w:lvl>
    <w:lvl w:ilvl="2" w:tplc="040C001B" w:tentative="1">
      <w:start w:val="1"/>
      <w:numFmt w:val="lowerRoman"/>
      <w:lvlText w:val="%3."/>
      <w:lvlJc w:val="right"/>
      <w:pPr>
        <w:ind w:left="2091" w:hanging="180"/>
      </w:pPr>
      <w:rPr>
        <w:rFonts w:cs="Times New Roman"/>
      </w:rPr>
    </w:lvl>
    <w:lvl w:ilvl="3" w:tplc="040C000F" w:tentative="1">
      <w:start w:val="1"/>
      <w:numFmt w:val="decimal"/>
      <w:lvlText w:val="%4."/>
      <w:lvlJc w:val="left"/>
      <w:pPr>
        <w:ind w:left="2811" w:hanging="360"/>
      </w:pPr>
      <w:rPr>
        <w:rFonts w:cs="Times New Roman"/>
      </w:rPr>
    </w:lvl>
    <w:lvl w:ilvl="4" w:tplc="040C0019" w:tentative="1">
      <w:start w:val="1"/>
      <w:numFmt w:val="lowerLetter"/>
      <w:lvlText w:val="%5."/>
      <w:lvlJc w:val="left"/>
      <w:pPr>
        <w:ind w:left="3531" w:hanging="360"/>
      </w:pPr>
      <w:rPr>
        <w:rFonts w:cs="Times New Roman"/>
      </w:rPr>
    </w:lvl>
    <w:lvl w:ilvl="5" w:tplc="040C001B" w:tentative="1">
      <w:start w:val="1"/>
      <w:numFmt w:val="lowerRoman"/>
      <w:lvlText w:val="%6."/>
      <w:lvlJc w:val="right"/>
      <w:pPr>
        <w:ind w:left="4251" w:hanging="180"/>
      </w:pPr>
      <w:rPr>
        <w:rFonts w:cs="Times New Roman"/>
      </w:rPr>
    </w:lvl>
    <w:lvl w:ilvl="6" w:tplc="040C000F" w:tentative="1">
      <w:start w:val="1"/>
      <w:numFmt w:val="decimal"/>
      <w:lvlText w:val="%7."/>
      <w:lvlJc w:val="left"/>
      <w:pPr>
        <w:ind w:left="4971" w:hanging="360"/>
      </w:pPr>
      <w:rPr>
        <w:rFonts w:cs="Times New Roman"/>
      </w:rPr>
    </w:lvl>
    <w:lvl w:ilvl="7" w:tplc="040C0019" w:tentative="1">
      <w:start w:val="1"/>
      <w:numFmt w:val="lowerLetter"/>
      <w:lvlText w:val="%8."/>
      <w:lvlJc w:val="left"/>
      <w:pPr>
        <w:ind w:left="5691" w:hanging="360"/>
      </w:pPr>
      <w:rPr>
        <w:rFonts w:cs="Times New Roman"/>
      </w:rPr>
    </w:lvl>
    <w:lvl w:ilvl="8" w:tplc="040C001B" w:tentative="1">
      <w:start w:val="1"/>
      <w:numFmt w:val="lowerRoman"/>
      <w:lvlText w:val="%9."/>
      <w:lvlJc w:val="right"/>
      <w:pPr>
        <w:ind w:left="6411" w:hanging="180"/>
      </w:pPr>
      <w:rPr>
        <w:rFonts w:cs="Times New Roman"/>
      </w:rPr>
    </w:lvl>
  </w:abstractNum>
  <w:abstractNum w:abstractNumId="1" w15:restartNumberingAfterBreak="0">
    <w:nsid w:val="494400D9"/>
    <w:multiLevelType w:val="hybridMultilevel"/>
    <w:tmpl w:val="76C28070"/>
    <w:lvl w:ilvl="0" w:tplc="D9B8FB12">
      <w:start w:val="1"/>
      <w:numFmt w:val="decimal"/>
      <w:lvlText w:val="%1."/>
      <w:lvlJc w:val="left"/>
      <w:pPr>
        <w:ind w:left="398" w:hanging="285"/>
      </w:pPr>
      <w:rPr>
        <w:rFonts w:cs="Times New Roman" w:hint="default"/>
        <w:w w:val="99"/>
      </w:rPr>
    </w:lvl>
    <w:lvl w:ilvl="1" w:tplc="7082A476">
      <w:start w:val="1"/>
      <w:numFmt w:val="bullet"/>
      <w:lvlText w:val="•"/>
      <w:lvlJc w:val="left"/>
      <w:pPr>
        <w:ind w:left="1346" w:hanging="285"/>
      </w:pPr>
      <w:rPr>
        <w:rFonts w:hint="default"/>
      </w:rPr>
    </w:lvl>
    <w:lvl w:ilvl="2" w:tplc="BE7C2354">
      <w:start w:val="1"/>
      <w:numFmt w:val="bullet"/>
      <w:lvlText w:val="•"/>
      <w:lvlJc w:val="left"/>
      <w:pPr>
        <w:ind w:left="2292" w:hanging="285"/>
      </w:pPr>
      <w:rPr>
        <w:rFonts w:hint="default"/>
      </w:rPr>
    </w:lvl>
    <w:lvl w:ilvl="3" w:tplc="CF0222EE">
      <w:start w:val="1"/>
      <w:numFmt w:val="bullet"/>
      <w:lvlText w:val="•"/>
      <w:lvlJc w:val="left"/>
      <w:pPr>
        <w:ind w:left="3239" w:hanging="285"/>
      </w:pPr>
      <w:rPr>
        <w:rFonts w:hint="default"/>
      </w:rPr>
    </w:lvl>
    <w:lvl w:ilvl="4" w:tplc="4846175A">
      <w:start w:val="1"/>
      <w:numFmt w:val="bullet"/>
      <w:lvlText w:val="•"/>
      <w:lvlJc w:val="left"/>
      <w:pPr>
        <w:ind w:left="4185" w:hanging="285"/>
      </w:pPr>
      <w:rPr>
        <w:rFonts w:hint="default"/>
      </w:rPr>
    </w:lvl>
    <w:lvl w:ilvl="5" w:tplc="48E4DC56">
      <w:start w:val="1"/>
      <w:numFmt w:val="bullet"/>
      <w:lvlText w:val="•"/>
      <w:lvlJc w:val="left"/>
      <w:pPr>
        <w:ind w:left="5132" w:hanging="285"/>
      </w:pPr>
      <w:rPr>
        <w:rFonts w:hint="default"/>
      </w:rPr>
    </w:lvl>
    <w:lvl w:ilvl="6" w:tplc="86726B40">
      <w:start w:val="1"/>
      <w:numFmt w:val="bullet"/>
      <w:lvlText w:val="•"/>
      <w:lvlJc w:val="left"/>
      <w:pPr>
        <w:ind w:left="6078" w:hanging="285"/>
      </w:pPr>
      <w:rPr>
        <w:rFonts w:hint="default"/>
      </w:rPr>
    </w:lvl>
    <w:lvl w:ilvl="7" w:tplc="014C2982">
      <w:start w:val="1"/>
      <w:numFmt w:val="bullet"/>
      <w:lvlText w:val="•"/>
      <w:lvlJc w:val="left"/>
      <w:pPr>
        <w:ind w:left="7025" w:hanging="285"/>
      </w:pPr>
      <w:rPr>
        <w:rFonts w:hint="default"/>
      </w:rPr>
    </w:lvl>
    <w:lvl w:ilvl="8" w:tplc="B106D022">
      <w:start w:val="1"/>
      <w:numFmt w:val="bullet"/>
      <w:lvlText w:val="•"/>
      <w:lvlJc w:val="left"/>
      <w:pPr>
        <w:ind w:left="7971" w:hanging="285"/>
      </w:pPr>
      <w:rPr>
        <w:rFonts w:hint="default"/>
      </w:rPr>
    </w:lvl>
  </w:abstractNum>
  <w:abstractNum w:abstractNumId="2" w15:restartNumberingAfterBreak="0">
    <w:nsid w:val="7DB3184D"/>
    <w:multiLevelType w:val="hybridMultilevel"/>
    <w:tmpl w:val="973A046E"/>
    <w:lvl w:ilvl="0" w:tplc="BC3CFD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4E1B94"/>
    <w:multiLevelType w:val="hybridMultilevel"/>
    <w:tmpl w:val="181AF79C"/>
    <w:lvl w:ilvl="0" w:tplc="6602D28E">
      <w:start w:val="13"/>
      <w:numFmt w:val="bullet"/>
      <w:lvlText w:val="-"/>
      <w:lvlJc w:val="left"/>
      <w:pPr>
        <w:ind w:left="1068" w:hanging="360"/>
      </w:pPr>
      <w:rPr>
        <w:rFonts w:ascii="Times New Roman" w:eastAsia="Lucida Sans Unicode"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3819"/>
    <w:rsid w:val="004165A5"/>
    <w:rsid w:val="00464289"/>
    <w:rsid w:val="0048273D"/>
    <w:rsid w:val="004C2271"/>
    <w:rsid w:val="00520FD8"/>
    <w:rsid w:val="00561112"/>
    <w:rsid w:val="005E5248"/>
    <w:rsid w:val="00600C76"/>
    <w:rsid w:val="0066796B"/>
    <w:rsid w:val="006E6237"/>
    <w:rsid w:val="00763CBC"/>
    <w:rsid w:val="0079404A"/>
    <w:rsid w:val="009B3819"/>
    <w:rsid w:val="009E0790"/>
    <w:rsid w:val="00A070B0"/>
    <w:rsid w:val="00A25343"/>
    <w:rsid w:val="00AB5789"/>
    <w:rsid w:val="00B10746"/>
    <w:rsid w:val="00B53C28"/>
    <w:rsid w:val="00BE0A6C"/>
    <w:rsid w:val="00BE5906"/>
    <w:rsid w:val="00C515D8"/>
    <w:rsid w:val="00CD3508"/>
    <w:rsid w:val="00DD68E2"/>
    <w:rsid w:val="00E31294"/>
    <w:rsid w:val="00ED2DB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9143"/>
  <w15:docId w15:val="{F83654A4-E75D-4504-9369-5D02F50D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8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BE5906"/>
    <w:pPr>
      <w:ind w:left="720"/>
      <w:contextualSpacing/>
    </w:pPr>
  </w:style>
  <w:style w:type="paragraph" w:styleId="Textedebulles">
    <w:name w:val="Balloon Text"/>
    <w:basedOn w:val="Normal"/>
    <w:link w:val="TextedebullesCar"/>
    <w:uiPriority w:val="99"/>
    <w:semiHidden/>
    <w:unhideWhenUsed/>
    <w:rsid w:val="00AB57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5789"/>
    <w:rPr>
      <w:rFonts w:ascii="Tahoma" w:hAnsi="Tahoma" w:cs="Tahoma"/>
      <w:sz w:val="16"/>
      <w:szCs w:val="16"/>
    </w:rPr>
  </w:style>
  <w:style w:type="paragraph" w:styleId="Corpsdetexte">
    <w:name w:val="Body Text"/>
    <w:basedOn w:val="Normal"/>
    <w:link w:val="CorpsdetexteCar"/>
    <w:uiPriority w:val="1"/>
    <w:qFormat/>
    <w:rsid w:val="00BE0A6C"/>
    <w:pPr>
      <w:widowControl w:val="0"/>
      <w:spacing w:after="0" w:line="240" w:lineRule="auto"/>
    </w:pPr>
    <w:rPr>
      <w:rFonts w:ascii="Arial" w:eastAsia="Times New Roman" w:hAnsi="Arial" w:cs="Arial"/>
      <w:sz w:val="24"/>
      <w:szCs w:val="24"/>
      <w:lang w:val="en-US"/>
    </w:rPr>
  </w:style>
  <w:style w:type="character" w:customStyle="1" w:styleId="CorpsdetexteCar">
    <w:name w:val="Corps de texte Car"/>
    <w:basedOn w:val="Policepardfaut"/>
    <w:link w:val="Corpsdetexte"/>
    <w:uiPriority w:val="1"/>
    <w:rsid w:val="00BE0A6C"/>
    <w:rPr>
      <w:rFonts w:ascii="Arial" w:eastAsia="Times New Roman" w:hAnsi="Arial" w:cs="Arial"/>
      <w:sz w:val="24"/>
      <w:szCs w:val="24"/>
      <w:lang w:val="en-US"/>
    </w:rPr>
  </w:style>
  <w:style w:type="paragraph" w:customStyle="1" w:styleId="Titre11">
    <w:name w:val="Titre 11"/>
    <w:basedOn w:val="Normal"/>
    <w:uiPriority w:val="1"/>
    <w:qFormat/>
    <w:rsid w:val="00BE0A6C"/>
    <w:pPr>
      <w:widowControl w:val="0"/>
      <w:spacing w:after="0" w:line="240" w:lineRule="auto"/>
      <w:ind w:left="115"/>
      <w:jc w:val="center"/>
      <w:outlineLvl w:val="1"/>
    </w:pPr>
    <w:rPr>
      <w:rFonts w:ascii="Arial" w:eastAsia="Times New Roman" w:hAnsi="Arial" w:cs="Arial"/>
      <w:b/>
      <w:bCs/>
      <w:sz w:val="24"/>
      <w:szCs w:val="24"/>
      <w:lang w:val="en-US"/>
    </w:rPr>
  </w:style>
  <w:style w:type="character" w:styleId="Lienhypertexte">
    <w:name w:val="Hyperlink"/>
    <w:unhideWhenUsed/>
    <w:rsid w:val="00464289"/>
    <w:rPr>
      <w:color w:val="0000FF"/>
      <w:u w:val="single"/>
    </w:rPr>
  </w:style>
  <w:style w:type="paragraph" w:styleId="Notedebasdepage">
    <w:name w:val="footnote text"/>
    <w:basedOn w:val="Normal"/>
    <w:link w:val="NotedebasdepageCar"/>
    <w:uiPriority w:val="99"/>
    <w:unhideWhenUsed/>
    <w:rsid w:val="00DD68E2"/>
    <w:rPr>
      <w:rFonts w:ascii="Calibri" w:eastAsia="MS Mincho" w:hAnsi="Calibri" w:cs="Times New Roman"/>
      <w:sz w:val="20"/>
      <w:szCs w:val="20"/>
      <w:lang w:eastAsia="fr-FR"/>
    </w:rPr>
  </w:style>
  <w:style w:type="character" w:customStyle="1" w:styleId="NotedebasdepageCar">
    <w:name w:val="Note de bas de page Car"/>
    <w:basedOn w:val="Policepardfaut"/>
    <w:link w:val="Notedebasdepage"/>
    <w:uiPriority w:val="99"/>
    <w:rsid w:val="00DD68E2"/>
    <w:rPr>
      <w:rFonts w:ascii="Calibri" w:eastAsia="MS Mincho" w:hAnsi="Calibri" w:cs="Times New Roman"/>
      <w:sz w:val="20"/>
      <w:szCs w:val="20"/>
      <w:lang w:eastAsia="fr-FR"/>
    </w:rPr>
  </w:style>
  <w:style w:type="character" w:styleId="Appelnotedebasdep">
    <w:name w:val="footnote reference"/>
    <w:uiPriority w:val="99"/>
    <w:unhideWhenUsed/>
    <w:rsid w:val="00DD68E2"/>
    <w:rPr>
      <w:vertAlign w:val="superscript"/>
    </w:rPr>
  </w:style>
  <w:style w:type="paragraph" w:customStyle="1" w:styleId="Standard">
    <w:name w:val="Standard"/>
    <w:rsid w:val="00DD68E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Mentionnonrsolue">
    <w:name w:val="Unresolved Mention"/>
    <w:basedOn w:val="Policepardfaut"/>
    <w:uiPriority w:val="99"/>
    <w:semiHidden/>
    <w:unhideWhenUsed/>
    <w:rsid w:val="00600C76"/>
    <w:rPr>
      <w:color w:val="808080"/>
      <w:shd w:val="clear" w:color="auto" w:fill="E6E6E6"/>
    </w:rPr>
  </w:style>
  <w:style w:type="paragraph" w:styleId="En-tte">
    <w:name w:val="header"/>
    <w:basedOn w:val="Normal"/>
    <w:link w:val="En-tteCar"/>
    <w:uiPriority w:val="99"/>
    <w:unhideWhenUsed/>
    <w:rsid w:val="00520FD8"/>
    <w:pPr>
      <w:tabs>
        <w:tab w:val="center" w:pos="4536"/>
        <w:tab w:val="right" w:pos="9072"/>
      </w:tabs>
      <w:spacing w:after="0" w:line="240" w:lineRule="auto"/>
    </w:pPr>
  </w:style>
  <w:style w:type="character" w:customStyle="1" w:styleId="En-tteCar">
    <w:name w:val="En-tête Car"/>
    <w:basedOn w:val="Policepardfaut"/>
    <w:link w:val="En-tte"/>
    <w:uiPriority w:val="99"/>
    <w:rsid w:val="00520FD8"/>
  </w:style>
  <w:style w:type="paragraph" w:styleId="Pieddepage">
    <w:name w:val="footer"/>
    <w:basedOn w:val="Normal"/>
    <w:link w:val="PieddepageCar"/>
    <w:uiPriority w:val="99"/>
    <w:unhideWhenUsed/>
    <w:rsid w:val="00520F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0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insee.fr/fr/themes/tableau.asp?reg_id=0&amp;ref_id=NATnon0424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ee.fr/fr/themes/tableau.asp?reg_id=0&amp;ref_id=NATnon0424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www.pedagogie.ac-aix-marseille.fr/jcms/c_266892/fr/courbes-de-lorenz"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Philippe\Documents\phil\Cours\Autres%20que%20Lyc&#233;e\Fac%20provence\2011_2012\patrimoine\graph_rev_pat.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247970291059129E-2"/>
          <c:y val="2.3207703531553388E-2"/>
          <c:w val="0.87588006008346919"/>
          <c:h val="0.92722743473748925"/>
        </c:manualLayout>
      </c:layout>
      <c:scatterChart>
        <c:scatterStyle val="smoothMarker"/>
        <c:varyColors val="0"/>
        <c:ser>
          <c:idx val="1"/>
          <c:order val="1"/>
          <c:spPr>
            <a:ln>
              <a:solidFill>
                <a:sysClr val="windowText" lastClr="000000"/>
              </a:solidFill>
              <a:prstDash val="sysDot"/>
            </a:ln>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9E4E-4902-B72A-B5DC25B73E4D}"/>
                </c:ext>
              </c:extLst>
            </c:dLbl>
            <c:dLbl>
              <c:idx val="10"/>
              <c:delete val="1"/>
              <c:extLst>
                <c:ext xmlns:c15="http://schemas.microsoft.com/office/drawing/2012/chart" uri="{CE6537A1-D6FC-4f65-9D91-7224C49458BB}"/>
                <c:ext xmlns:c16="http://schemas.microsoft.com/office/drawing/2014/chart" uri="{C3380CC4-5D6E-409C-BE32-E72D297353CC}">
                  <c16:uniqueId val="{00000001-9E4E-4902-B72A-B5DC25B73E4D}"/>
                </c:ext>
              </c:extLst>
            </c:dLbl>
            <c:spPr>
              <a:solidFill>
                <a:sysClr val="window" lastClr="FFFFFF"/>
              </a:solidFill>
              <a:ln w="0" cap="flat" cmpd="sng" algn="ctr">
                <a:solidFill>
                  <a:sysClr val="windowText" lastClr="000000"/>
                </a:solidFill>
                <a:prstDash val="solid"/>
              </a:ln>
              <a:effectLst/>
            </c:spPr>
            <c:txPr>
              <a:bodyPr/>
              <a:lstStyle/>
              <a:p>
                <a:pPr>
                  <a:defRPr b="1">
                    <a:solidFill>
                      <a:sysClr val="windowText" lastClr="000000"/>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[1]data!$A$14:$A$24</c:f>
              <c:numCache>
                <c:formatCode>General</c:formatCode>
                <c:ptCount val="11"/>
                <c:pt idx="0">
                  <c:v>0</c:v>
                </c:pt>
                <c:pt idx="1">
                  <c:v>0.1</c:v>
                </c:pt>
                <c:pt idx="2">
                  <c:v>0.2</c:v>
                </c:pt>
                <c:pt idx="3">
                  <c:v>0.3</c:v>
                </c:pt>
                <c:pt idx="4">
                  <c:v>0.4</c:v>
                </c:pt>
                <c:pt idx="5">
                  <c:v>0.5</c:v>
                </c:pt>
                <c:pt idx="6">
                  <c:v>0.6</c:v>
                </c:pt>
                <c:pt idx="7">
                  <c:v>0.7</c:v>
                </c:pt>
                <c:pt idx="8">
                  <c:v>0.8</c:v>
                </c:pt>
                <c:pt idx="9">
                  <c:v>0.9</c:v>
                </c:pt>
                <c:pt idx="10">
                  <c:v>1</c:v>
                </c:pt>
              </c:numCache>
            </c:numRef>
          </c:xVal>
          <c:yVal>
            <c:numRef>
              <c:f>[1]data!$B$14:$B$24</c:f>
              <c:numCache>
                <c:formatCode>General</c:formatCode>
                <c:ptCount val="11"/>
                <c:pt idx="0">
                  <c:v>0</c:v>
                </c:pt>
                <c:pt idx="1">
                  <c:v>3.5999999999999943</c:v>
                </c:pt>
                <c:pt idx="2">
                  <c:v>8.9000000000000057</c:v>
                </c:pt>
                <c:pt idx="3">
                  <c:v>15.299999999999997</c:v>
                </c:pt>
                <c:pt idx="4">
                  <c:v>22.5</c:v>
                </c:pt>
                <c:pt idx="5">
                  <c:v>30.700000000000003</c:v>
                </c:pt>
                <c:pt idx="6">
                  <c:v>39.799999999999997</c:v>
                </c:pt>
                <c:pt idx="7">
                  <c:v>50</c:v>
                </c:pt>
                <c:pt idx="8">
                  <c:v>61.8</c:v>
                </c:pt>
                <c:pt idx="9">
                  <c:v>76</c:v>
                </c:pt>
                <c:pt idx="10">
                  <c:v>100</c:v>
                </c:pt>
              </c:numCache>
            </c:numRef>
          </c:yVal>
          <c:smooth val="1"/>
          <c:extLst>
            <c:ext xmlns:c16="http://schemas.microsoft.com/office/drawing/2014/chart" uri="{C3380CC4-5D6E-409C-BE32-E72D297353CC}">
              <c16:uniqueId val="{00000002-9E4E-4902-B72A-B5DC25B73E4D}"/>
            </c:ext>
          </c:extLst>
        </c:ser>
        <c:ser>
          <c:idx val="0"/>
          <c:order val="0"/>
          <c:spPr>
            <a:ln w="38100" cap="flat" cmpd="sng" algn="ctr">
              <a:solidFill>
                <a:schemeClr val="dk1"/>
              </a:solidFill>
              <a:prstDash val="solid"/>
            </a:ln>
            <a:effectLst/>
          </c:spPr>
          <c:marker>
            <c:symbol val="none"/>
          </c:marker>
          <c:dLbls>
            <c:dLbl>
              <c:idx val="0"/>
              <c:layout>
                <c:manualLayout>
                  <c:x val="1.2286282639536376E-2"/>
                  <c:y val="-1.6722476835830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4E-4902-B72A-B5DC25B73E4D}"/>
                </c:ext>
              </c:extLst>
            </c:dLbl>
            <c:dLbl>
              <c:idx val="1"/>
              <c:layout>
                <c:manualLayout>
                  <c:x val="-2.0135852103684616E-2"/>
                  <c:y val="-1.82902090391900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4E-4902-B72A-B5DC25B73E4D}"/>
                </c:ext>
              </c:extLst>
            </c:dLbl>
            <c:dLbl>
              <c:idx val="9"/>
              <c:layout>
                <c:manualLayout>
                  <c:x val="-3.7200133547485137E-2"/>
                  <c:y val="-2.87417570615843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E4E-4902-B72A-B5DC25B73E4D}"/>
                </c:ext>
              </c:extLst>
            </c:dLbl>
            <c:dLbl>
              <c:idx val="10"/>
              <c:layout>
                <c:manualLayout>
                  <c:x val="-2.7302850310080835E-3"/>
                  <c:y val="-3.13546440671828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E4E-4902-B72A-B5DC25B73E4D}"/>
                </c:ext>
              </c:extLst>
            </c:dLbl>
            <c:numFmt formatCode="#,##0.0" sourceLinked="0"/>
            <c:spPr>
              <a:ln>
                <a:noFill/>
              </a:ln>
            </c:spPr>
            <c:txPr>
              <a:bodyPr/>
              <a:lstStyle/>
              <a:p>
                <a:pPr>
                  <a:defRPr b="1">
                    <a:latin typeface="Times New Roman" pitchFamily="18" charset="0"/>
                    <a:cs typeface="Times New Roman" pitchFamily="18" charset="0"/>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[1]data!$A$20:$A$30</c:f>
              <c:numCache>
                <c:formatCode>General</c:formatCode>
                <c:ptCount val="11"/>
                <c:pt idx="0">
                  <c:v>0</c:v>
                </c:pt>
                <c:pt idx="1">
                  <c:v>0.1</c:v>
                </c:pt>
                <c:pt idx="2">
                  <c:v>0.2</c:v>
                </c:pt>
                <c:pt idx="3">
                  <c:v>0.3</c:v>
                </c:pt>
                <c:pt idx="4">
                  <c:v>0.4</c:v>
                </c:pt>
                <c:pt idx="5">
                  <c:v>0.5</c:v>
                </c:pt>
                <c:pt idx="6">
                  <c:v>0.6</c:v>
                </c:pt>
                <c:pt idx="7">
                  <c:v>0.7</c:v>
                </c:pt>
                <c:pt idx="8">
                  <c:v>0.8</c:v>
                </c:pt>
                <c:pt idx="9">
                  <c:v>0.9</c:v>
                </c:pt>
                <c:pt idx="10">
                  <c:v>1</c:v>
                </c:pt>
              </c:numCache>
            </c:numRef>
          </c:xVal>
          <c:yVal>
            <c:numRef>
              <c:f>[1]data!$B$20:$B$30</c:f>
              <c:numCache>
                <c:formatCode>General</c:formatCode>
                <c:ptCount val="11"/>
                <c:pt idx="0">
                  <c:v>0</c:v>
                </c:pt>
                <c:pt idx="1">
                  <c:v>0</c:v>
                </c:pt>
                <c:pt idx="2">
                  <c:v>0</c:v>
                </c:pt>
                <c:pt idx="3">
                  <c:v>0.73292772853204724</c:v>
                </c:pt>
                <c:pt idx="4">
                  <c:v>2.3644159060620211</c:v>
                </c:pt>
                <c:pt idx="5">
                  <c:v>6.8433484140918779</c:v>
                </c:pt>
                <c:pt idx="6">
                  <c:v>13.748797212511505</c:v>
                </c:pt>
                <c:pt idx="7">
                  <c:v>22.967232473380889</c:v>
                </c:pt>
                <c:pt idx="8">
                  <c:v>34.916863498233127</c:v>
                </c:pt>
                <c:pt idx="9">
                  <c:v>51.966768388033458</c:v>
                </c:pt>
                <c:pt idx="10">
                  <c:v>100</c:v>
                </c:pt>
              </c:numCache>
            </c:numRef>
          </c:yVal>
          <c:smooth val="1"/>
          <c:extLst>
            <c:ext xmlns:c16="http://schemas.microsoft.com/office/drawing/2014/chart" uri="{C3380CC4-5D6E-409C-BE32-E72D297353CC}">
              <c16:uniqueId val="{00000007-9E4E-4902-B72A-B5DC25B73E4D}"/>
            </c:ext>
          </c:extLst>
        </c:ser>
        <c:dLbls>
          <c:dLblPos val="b"/>
          <c:showLegendKey val="0"/>
          <c:showVal val="1"/>
          <c:showCatName val="0"/>
          <c:showSerName val="0"/>
          <c:showPercent val="0"/>
          <c:showBubbleSize val="0"/>
        </c:dLbls>
        <c:axId val="135738496"/>
        <c:axId val="135740032"/>
      </c:scatterChart>
      <c:valAx>
        <c:axId val="135738496"/>
        <c:scaling>
          <c:orientation val="minMax"/>
          <c:max val="1"/>
          <c:min val="0"/>
        </c:scaling>
        <c:delete val="0"/>
        <c:axPos val="b"/>
        <c:majorGridlines>
          <c:spPr>
            <a:ln>
              <a:prstDash val="sysDot"/>
            </a:ln>
          </c:spPr>
        </c:majorGridlines>
        <c:numFmt formatCode="0%" sourceLinked="0"/>
        <c:majorTickMark val="out"/>
        <c:minorTickMark val="none"/>
        <c:tickLblPos val="nextTo"/>
        <c:txPr>
          <a:bodyPr/>
          <a:lstStyle/>
          <a:p>
            <a:pPr>
              <a:defRPr baseline="0">
                <a:latin typeface="Arial" pitchFamily="34" charset="0"/>
              </a:defRPr>
            </a:pPr>
            <a:endParaRPr lang="fr-FR"/>
          </a:p>
        </c:txPr>
        <c:crossAx val="135740032"/>
        <c:crosses val="autoZero"/>
        <c:crossBetween val="midCat"/>
      </c:valAx>
      <c:valAx>
        <c:axId val="135740032"/>
        <c:scaling>
          <c:orientation val="minMax"/>
          <c:max val="100"/>
          <c:min val="0"/>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ot"/>
            </a:ln>
          </c:spPr>
        </c:majorGridlines>
        <c:title>
          <c:tx>
            <c:rich>
              <a:bodyPr/>
              <a:lstStyle/>
              <a:p>
                <a:pPr>
                  <a:defRPr/>
                </a:pPr>
                <a:r>
                  <a:rPr lang="fr-FR"/>
                  <a:t>Pourcentages</a:t>
                </a:r>
              </a:p>
            </c:rich>
          </c:tx>
          <c:overlay val="0"/>
        </c:title>
        <c:numFmt formatCode="General" sourceLinked="0"/>
        <c:majorTickMark val="out"/>
        <c:minorTickMark val="none"/>
        <c:tickLblPos val="nextTo"/>
        <c:crossAx val="135738496"/>
        <c:crosses val="autoZero"/>
        <c:crossBetween val="midCat"/>
        <c:majorUnit val="10"/>
      </c:valAx>
      <c:spPr>
        <a:ln>
          <a:solidFill>
            <a:sysClr val="windowText" lastClr="000000"/>
          </a:solidFill>
        </a:ln>
      </c:spPr>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0.07094</cdr:x>
      <cdr:y>0.02345</cdr:y>
    </cdr:from>
    <cdr:to>
      <cdr:x>0.94646</cdr:x>
      <cdr:y>0.94805</cdr:y>
    </cdr:to>
    <cdr:cxnSp macro="">
      <cdr:nvCxnSpPr>
        <cdr:cNvPr id="3" name="Connecteur droit 2"/>
        <cdr:cNvCxnSpPr/>
      </cdr:nvCxnSpPr>
      <cdr:spPr>
        <a:xfrm xmlns:a="http://schemas.openxmlformats.org/drawingml/2006/main" flipV="1">
          <a:off x="660000" y="142500"/>
          <a:ext cx="8145000" cy="5617501"/>
        </a:xfrm>
        <a:prstGeom xmlns:a="http://schemas.openxmlformats.org/drawingml/2006/main" prst="line">
          <a:avLst/>
        </a:prstGeom>
        <a:ln xmlns:a="http://schemas.openxmlformats.org/drawingml/2006/main" w="28575">
          <a:solidFill>
            <a:sysClr val="windowText" lastClr="000000"/>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TotalTime>
  <Pages>5</Pages>
  <Words>1007</Words>
  <Characters>5541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Philippe Froissart</cp:lastModifiedBy>
  <cp:revision>5</cp:revision>
  <cp:lastPrinted>2018-04-21T13:34:00Z</cp:lastPrinted>
  <dcterms:created xsi:type="dcterms:W3CDTF">2018-04-21T13:21:00Z</dcterms:created>
  <dcterms:modified xsi:type="dcterms:W3CDTF">2018-04-21T13:34:00Z</dcterms:modified>
</cp:coreProperties>
</file>