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04C" w:rsidRDefault="00D5104C">
      <w:pPr>
        <w:rPr>
          <w:color w:val="auto"/>
          <w:kern w:val="0"/>
          <w:sz w:val="24"/>
          <w:szCs w:val="24"/>
        </w:rPr>
      </w:pPr>
      <w:r>
        <w:rPr>
          <w:b/>
          <w:bCs/>
          <w:color w:val="FFFFFF"/>
          <w:sz w:val="28"/>
          <w:szCs w:val="28"/>
        </w:rPr>
        <w:t>Programme du mardi 17 octobre</w:t>
      </w:r>
    </w:p>
    <w:p w:rsidR="00D5104C" w:rsidRDefault="00D5104C">
      <w:pPr>
        <w:overflowPunct/>
        <w:spacing w:after="0" w:line="240" w:lineRule="auto"/>
        <w:rPr>
          <w:color w:val="auto"/>
          <w:kern w:val="0"/>
          <w:sz w:val="24"/>
          <w:szCs w:val="24"/>
        </w:rPr>
        <w:sectPr w:rsidR="00D5104C">
          <w:pgSz w:w="12240" w:h="15840"/>
          <w:pgMar w:top="1417" w:right="1417" w:bottom="1417" w:left="1417" w:header="720" w:footer="720" w:gutter="0"/>
          <w:cols w:space="720"/>
          <w:noEndnote/>
        </w:sectPr>
      </w:pPr>
    </w:p>
    <w:p w:rsidR="00D5104C" w:rsidRDefault="00D5104C">
      <w:pPr>
        <w:rPr>
          <w:color w:val="auto"/>
          <w:kern w:val="0"/>
          <w:sz w:val="24"/>
          <w:szCs w:val="24"/>
        </w:rPr>
      </w:pPr>
      <w:r>
        <w:rPr>
          <w:b/>
          <w:bCs/>
          <w:color w:val="FFFFFF"/>
          <w:sz w:val="28"/>
          <w:szCs w:val="28"/>
        </w:rPr>
        <w:t>Nous rejoindre</w:t>
      </w:r>
    </w:p>
    <w:p w:rsidR="00D5104C" w:rsidRDefault="00D5104C">
      <w:pPr>
        <w:overflowPunct/>
        <w:spacing w:after="0" w:line="240" w:lineRule="auto"/>
        <w:rPr>
          <w:color w:val="auto"/>
          <w:kern w:val="0"/>
          <w:sz w:val="24"/>
          <w:szCs w:val="24"/>
        </w:rPr>
        <w:sectPr w:rsidR="00D5104C">
          <w:type w:val="continuous"/>
          <w:pgSz w:w="12240" w:h="15840"/>
          <w:pgMar w:top="1417" w:right="1417" w:bottom="1417" w:left="1417" w:header="720" w:footer="720" w:gutter="0"/>
          <w:cols w:space="720"/>
          <w:noEndnote/>
        </w:sectPr>
      </w:pPr>
    </w:p>
    <w:p w:rsidR="00D5104C" w:rsidRDefault="00D5104C">
      <w:pPr>
        <w:rPr>
          <w:color w:val="auto"/>
          <w:kern w:val="0"/>
          <w:sz w:val="24"/>
          <w:szCs w:val="24"/>
        </w:rPr>
      </w:pPr>
      <w:r>
        <w:rPr>
          <w:b/>
          <w:bCs/>
          <w:color w:val="FFFFFF"/>
          <w:sz w:val="28"/>
          <w:szCs w:val="28"/>
        </w:rPr>
        <w:t>Infos pratiques</w:t>
      </w:r>
    </w:p>
    <w:p w:rsidR="00D5104C" w:rsidRDefault="00D5104C">
      <w:pPr>
        <w:overflowPunct/>
        <w:spacing w:after="0" w:line="240" w:lineRule="auto"/>
        <w:rPr>
          <w:color w:val="auto"/>
          <w:kern w:val="0"/>
          <w:sz w:val="24"/>
          <w:szCs w:val="24"/>
        </w:rPr>
        <w:sectPr w:rsidR="00D5104C">
          <w:type w:val="continuous"/>
          <w:pgSz w:w="12240" w:h="15840"/>
          <w:pgMar w:top="1417" w:right="1417" w:bottom="1417" w:left="1417" w:header="720" w:footer="720" w:gutter="0"/>
          <w:cols w:space="720"/>
          <w:noEndnote/>
        </w:sectPr>
      </w:pPr>
    </w:p>
    <w:p w:rsidR="00D5104C" w:rsidRDefault="00D5104C">
      <w:pPr>
        <w:rPr>
          <w:color w:val="auto"/>
          <w:kern w:val="0"/>
          <w:sz w:val="24"/>
          <w:szCs w:val="24"/>
        </w:rPr>
      </w:pPr>
      <w:r>
        <w:rPr>
          <w:b/>
          <w:bCs/>
          <w:color w:val="FFFFFF"/>
          <w:sz w:val="28"/>
          <w:szCs w:val="28"/>
        </w:rPr>
        <w:t>Les partenaires</w:t>
      </w:r>
    </w:p>
    <w:p w:rsidR="00D5104C" w:rsidRDefault="00D5104C">
      <w:pPr>
        <w:overflowPunct/>
        <w:spacing w:after="0" w:line="240" w:lineRule="auto"/>
        <w:rPr>
          <w:color w:val="auto"/>
          <w:kern w:val="0"/>
          <w:sz w:val="24"/>
          <w:szCs w:val="24"/>
        </w:rPr>
        <w:sectPr w:rsidR="00D5104C">
          <w:type w:val="continuous"/>
          <w:pgSz w:w="12240" w:h="15840"/>
          <w:pgMar w:top="1417" w:right="1417" w:bottom="1417" w:left="1417" w:header="720" w:footer="720" w:gutter="0"/>
          <w:cols w:space="720"/>
          <w:noEndnote/>
        </w:sectPr>
      </w:pPr>
    </w:p>
    <w:p w:rsidR="00D5104C" w:rsidRDefault="00D5104C">
      <w:pPr>
        <w:jc w:val="center"/>
        <w:rPr>
          <w:b/>
          <w:bCs/>
          <w:color w:val="FFFFFF"/>
          <w:sz w:val="48"/>
          <w:szCs w:val="48"/>
        </w:rPr>
      </w:pPr>
      <w:r>
        <w:rPr>
          <w:b/>
          <w:bCs/>
          <w:color w:val="FFFFFF"/>
          <w:sz w:val="48"/>
          <w:szCs w:val="48"/>
        </w:rPr>
        <w:t>Les journées d’AIX</w:t>
      </w:r>
    </w:p>
    <w:p w:rsidR="00D5104C" w:rsidRDefault="00D5104C">
      <w:pPr>
        <w:jc w:val="center"/>
        <w:rPr>
          <w:color w:val="auto"/>
          <w:kern w:val="0"/>
          <w:sz w:val="24"/>
          <w:szCs w:val="24"/>
        </w:rPr>
      </w:pPr>
      <w:r>
        <w:rPr>
          <w:b/>
          <w:bCs/>
          <w:color w:val="FFFFFF"/>
          <w:sz w:val="56"/>
          <w:szCs w:val="56"/>
        </w:rPr>
        <w:t>Objectifs E.D.D.</w:t>
      </w:r>
    </w:p>
    <w:p w:rsidR="00D5104C" w:rsidRDefault="00D5104C">
      <w:pPr>
        <w:overflowPunct/>
        <w:spacing w:after="0" w:line="240" w:lineRule="auto"/>
        <w:rPr>
          <w:color w:val="auto"/>
          <w:kern w:val="0"/>
          <w:sz w:val="24"/>
          <w:szCs w:val="24"/>
        </w:rPr>
        <w:sectPr w:rsidR="00D5104C">
          <w:type w:val="continuous"/>
          <w:pgSz w:w="12240" w:h="15840"/>
          <w:pgMar w:top="1417" w:right="1417" w:bottom="1417" w:left="1417" w:header="720" w:footer="720" w:gutter="0"/>
          <w:cols w:space="720"/>
          <w:noEndnote/>
        </w:sectPr>
      </w:pPr>
    </w:p>
    <w:p w:rsidR="00D5104C" w:rsidRDefault="00D5104C">
      <w:pPr>
        <w:rPr>
          <w:color w:val="auto"/>
          <w:kern w:val="0"/>
          <w:sz w:val="24"/>
          <w:szCs w:val="24"/>
        </w:rPr>
      </w:pPr>
      <w:r>
        <w:rPr>
          <w:b/>
          <w:bCs/>
          <w:color w:val="FFFFFF"/>
          <w:sz w:val="28"/>
          <w:szCs w:val="28"/>
        </w:rPr>
        <w:t>Programme du lundi 16 octobre</w:t>
      </w:r>
    </w:p>
    <w:p w:rsidR="00D5104C" w:rsidRDefault="00D5104C">
      <w:pPr>
        <w:overflowPunct/>
        <w:spacing w:after="0" w:line="240" w:lineRule="auto"/>
        <w:rPr>
          <w:color w:val="auto"/>
          <w:kern w:val="0"/>
          <w:sz w:val="24"/>
          <w:szCs w:val="24"/>
        </w:rPr>
        <w:sectPr w:rsidR="00D5104C">
          <w:type w:val="continuous"/>
          <w:pgSz w:w="12240" w:h="15840"/>
          <w:pgMar w:top="1417" w:right="1417" w:bottom="1417" w:left="1417" w:header="720" w:footer="720" w:gutter="0"/>
          <w:cols w:space="720"/>
          <w:noEndnote/>
        </w:sectPr>
      </w:pPr>
    </w:p>
    <w:p w:rsidR="00D5104C" w:rsidRDefault="00D5104C">
      <w:pPr>
        <w:spacing w:after="60" w:line="240" w:lineRule="auto"/>
        <w:jc w:val="both"/>
        <w:rPr>
          <w:sz w:val="18"/>
          <w:szCs w:val="18"/>
        </w:rPr>
      </w:pPr>
      <w:r>
        <w:rPr>
          <w:sz w:val="18"/>
          <w:szCs w:val="18"/>
        </w:rPr>
        <w:t xml:space="preserve">Au fil des années, la formation des référentsD (Établissement en démarche de développement durable) s’est imposée comme un des temps forts de la labellisation: le premier de l’année scolaire. La labellisation des écoles et des établissements repose largement sur l’action des référentsD.  </w:t>
      </w:r>
    </w:p>
    <w:p w:rsidR="00D5104C" w:rsidRDefault="00D5104C">
      <w:pPr>
        <w:spacing w:after="60" w:line="240" w:lineRule="auto"/>
        <w:jc w:val="both"/>
        <w:rPr>
          <w:sz w:val="18"/>
          <w:szCs w:val="18"/>
        </w:rPr>
      </w:pPr>
      <w:r>
        <w:rPr>
          <w:sz w:val="18"/>
          <w:szCs w:val="18"/>
        </w:rPr>
        <w:t xml:space="preserve">Jusqu’à cette année, la formation des référents était prise en charge par les formateurs du groupe académique EDD. Devant l’accroissement des E3D, le groupe a éprouvé le besoin de lui conférer davantage d’ampleur en mettant en place, dans le cadre d’un partenariat avec l’ESPE, une action de formation sur deux jours baptisée: « les journées d’Aix: Objectifs EDD ». Elle se déroulera à l’ESPE d’Aix-en-Provence, </w:t>
      </w:r>
    </w:p>
    <w:p w:rsidR="00D5104C" w:rsidRDefault="00D5104C">
      <w:pPr>
        <w:spacing w:after="60" w:line="240" w:lineRule="auto"/>
        <w:jc w:val="both"/>
        <w:rPr>
          <w:b/>
          <w:bCs/>
          <w:sz w:val="24"/>
          <w:szCs w:val="24"/>
        </w:rPr>
      </w:pPr>
      <w:r>
        <w:rPr>
          <w:b/>
          <w:bCs/>
          <w:sz w:val="24"/>
          <w:szCs w:val="24"/>
        </w:rPr>
        <w:t>les 16 et 17 octobre 2017.</w:t>
      </w:r>
    </w:p>
    <w:p w:rsidR="00D5104C" w:rsidRDefault="00D5104C">
      <w:pPr>
        <w:spacing w:after="60" w:line="240" w:lineRule="auto"/>
        <w:jc w:val="both"/>
        <w:rPr>
          <w:sz w:val="18"/>
          <w:szCs w:val="18"/>
        </w:rPr>
      </w:pPr>
      <w:r>
        <w:rPr>
          <w:sz w:val="18"/>
          <w:szCs w:val="18"/>
        </w:rPr>
        <w:t>Aux intentions traditionnelles de cette action – inscrire la labellisation académique dans l’Instruction relative au déploiement de l’éducation au développement durable dans l’ensemble des écoles et établissements scolaires pour la période-2018, contribuer à l’élaboration d’une culture commune, partager des expériences, des ressources et des outils utiles à l’action des référents—, s’en ajoutent désormais d’autres. Nous avons l’ambition de prolonger la professionnalisation des personnels engagés dans la mise en œuvre d’une démarcheD par une confrontation avec l’état de la recherche sur l’éducation au développement durable, à la faveur de la rencontre entre des praticiens et des chercheurs. Ces rencontres et ces échanges doivent créer une dynamique réflexive, sans laquelle toute démarche de développement durable risquerait fort de se réduire à une série de gestes et la responsabilisation environnementale à une normalisation des esprits, voire à un banal supplément d’âme.</w:t>
      </w:r>
    </w:p>
    <w:p w:rsidR="00D5104C" w:rsidRDefault="00D5104C">
      <w:pPr>
        <w:spacing w:after="60" w:line="240" w:lineRule="auto"/>
        <w:jc w:val="both"/>
        <w:rPr>
          <w:color w:val="auto"/>
          <w:kern w:val="0"/>
          <w:sz w:val="24"/>
          <w:szCs w:val="24"/>
        </w:rPr>
      </w:pPr>
      <w:r>
        <w:rPr>
          <w:rFonts w:eastAsia="MS Mincho"/>
          <w:sz w:val="18"/>
          <w:szCs w:val="18"/>
          <w:lang w:eastAsia="ja-JP"/>
        </w:rPr>
        <w:t>À cet événement, il a semblé nécessaire d’associer les partenaires habituels du développement durable sur le territoire: associations, parcs, entreprises, etc. Ils seront présents le lundi 16 octobre pour présenter leurs activités en lien avec le monde éducatif.</w:t>
      </w:r>
      <w:r>
        <w:rPr>
          <w:rFonts w:eastAsia="MS Mincho"/>
          <w:color w:val="595959"/>
          <w:sz w:val="18"/>
          <w:szCs w:val="18"/>
          <w:lang w:eastAsia="ja-JP"/>
        </w:rPr>
        <w:t xml:space="preserve"> </w:t>
      </w:r>
    </w:p>
    <w:p w:rsidR="00D5104C" w:rsidRDefault="00D5104C">
      <w:pPr>
        <w:overflowPunct/>
        <w:spacing w:after="0" w:line="240" w:lineRule="auto"/>
        <w:rPr>
          <w:color w:val="auto"/>
          <w:kern w:val="0"/>
          <w:sz w:val="24"/>
          <w:szCs w:val="24"/>
        </w:rPr>
        <w:sectPr w:rsidR="00D5104C">
          <w:type w:val="continuous"/>
          <w:pgSz w:w="12240" w:h="15840"/>
          <w:pgMar w:top="1417" w:right="1417" w:bottom="1417" w:left="1417" w:header="720" w:footer="720" w:gutter="0"/>
          <w:cols w:space="720"/>
          <w:noEndnote/>
        </w:sectPr>
      </w:pPr>
    </w:p>
    <w:p w:rsidR="00D5104C" w:rsidRDefault="00D5104C">
      <w:pPr>
        <w:spacing w:after="0" w:line="240" w:lineRule="auto"/>
        <w:jc w:val="both"/>
        <w:rPr>
          <w:rFonts w:eastAsia="MS Mincho"/>
          <w:lang w:eastAsia="ja-JP"/>
        </w:rPr>
      </w:pPr>
      <w:r>
        <w:rPr>
          <w:rFonts w:eastAsia="MS Mincho"/>
          <w:lang w:eastAsia="ja-JP"/>
        </w:rPr>
        <w:t xml:space="preserve">Le parking «relais Route des Alpes» </w:t>
      </w:r>
    </w:p>
    <w:p w:rsidR="00D5104C" w:rsidRDefault="00D5104C">
      <w:pPr>
        <w:spacing w:after="0" w:line="240" w:lineRule="auto"/>
        <w:jc w:val="both"/>
        <w:rPr>
          <w:rFonts w:eastAsia="MS Mincho"/>
          <w:lang w:eastAsia="ja-JP"/>
        </w:rPr>
      </w:pPr>
      <w:r>
        <w:rPr>
          <w:rFonts w:eastAsia="MS Mincho"/>
          <w:lang w:eastAsia="ja-JP"/>
        </w:rPr>
        <w:t>ne se trouve pas très loin de l'ESPE (10' de marche).</w:t>
      </w:r>
    </w:p>
    <w:p w:rsidR="00D5104C" w:rsidRDefault="00D5104C">
      <w:pPr>
        <w:spacing w:after="0" w:line="240" w:lineRule="auto"/>
        <w:jc w:val="both"/>
        <w:rPr>
          <w:color w:val="auto"/>
          <w:kern w:val="0"/>
          <w:sz w:val="24"/>
          <w:szCs w:val="24"/>
        </w:rPr>
      </w:pPr>
      <w:r>
        <w:rPr>
          <w:rFonts w:eastAsia="MS Mincho"/>
          <w:lang w:eastAsia="ja-JP"/>
        </w:rPr>
        <w:t xml:space="preserve">Un bus gratuit relie le parking à la place Bellegarde, toute proche de l’ESPE. Il est vivement conseillé de s’y garer. </w:t>
      </w:r>
    </w:p>
    <w:p w:rsidR="00D5104C" w:rsidRDefault="00D5104C">
      <w:pPr>
        <w:overflowPunct/>
        <w:spacing w:after="0" w:line="240" w:lineRule="auto"/>
        <w:rPr>
          <w:color w:val="auto"/>
          <w:kern w:val="0"/>
          <w:sz w:val="24"/>
          <w:szCs w:val="24"/>
        </w:rPr>
        <w:sectPr w:rsidR="00D5104C">
          <w:type w:val="continuous"/>
          <w:pgSz w:w="12240" w:h="15840"/>
          <w:pgMar w:top="1417" w:right="1417" w:bottom="1417" w:left="1417"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700"/>
        <w:gridCol w:w="4780"/>
      </w:tblGrid>
      <w:tr w:rsidR="00D5104C">
        <w:tblPrEx>
          <w:tblCellMar>
            <w:top w:w="0" w:type="dxa"/>
            <w:left w:w="0" w:type="dxa"/>
            <w:bottom w:w="0" w:type="dxa"/>
            <w:right w:w="0" w:type="dxa"/>
          </w:tblCellMar>
        </w:tblPrEx>
        <w:trPr>
          <w:trHeight w:val="488"/>
        </w:trPr>
        <w:tc>
          <w:tcPr>
            <w:tcW w:w="1700" w:type="dxa"/>
            <w:tcBorders>
              <w:top w:val="nil"/>
              <w:left w:val="nil"/>
              <w:bottom w:val="nil"/>
              <w:right w:val="nil"/>
            </w:tcBorders>
          </w:tcPr>
          <w:p w:rsidR="00D5104C" w:rsidRDefault="00D5104C">
            <w:pPr>
              <w:spacing w:after="0" w:line="240" w:lineRule="auto"/>
              <w:rPr>
                <w:rFonts w:eastAsia="MS Mincho"/>
                <w:color w:val="595959"/>
                <w:sz w:val="30"/>
                <w:szCs w:val="30"/>
                <w:lang w:eastAsia="ja-JP"/>
              </w:rPr>
            </w:pPr>
            <w:r>
              <w:rPr>
                <w:rFonts w:eastAsia="MS Mincho"/>
                <w:lang w:eastAsia="ja-JP"/>
              </w:rPr>
              <w:t>8</w:t>
            </w:r>
          </w:p>
          <w:p w:rsidR="00D5104C" w:rsidRDefault="00D5104C">
            <w:pPr>
              <w:spacing w:after="0" w:line="240" w:lineRule="auto"/>
              <w:jc w:val="right"/>
              <w:rPr>
                <w:color w:val="auto"/>
                <w:kern w:val="0"/>
                <w:sz w:val="24"/>
                <w:szCs w:val="24"/>
              </w:rPr>
            </w:pPr>
            <w:r>
              <w:rPr>
                <w:rFonts w:eastAsia="MS Mincho"/>
                <w:lang w:eastAsia="ja-JP"/>
              </w:rPr>
              <w:t>Amphi D</w:t>
            </w:r>
          </w:p>
        </w:tc>
        <w:tc>
          <w:tcPr>
            <w:tcW w:w="4780" w:type="dxa"/>
            <w:tcBorders>
              <w:top w:val="nil"/>
              <w:left w:val="nil"/>
              <w:bottom w:val="nil"/>
              <w:right w:val="nil"/>
            </w:tcBorders>
          </w:tcPr>
          <w:p w:rsidR="00D5104C" w:rsidRDefault="00D5104C">
            <w:pPr>
              <w:spacing w:after="0" w:line="240" w:lineRule="auto"/>
              <w:rPr>
                <w:color w:val="auto"/>
                <w:kern w:val="0"/>
                <w:sz w:val="24"/>
                <w:szCs w:val="24"/>
              </w:rPr>
            </w:pPr>
            <w:r>
              <w:rPr>
                <w:rFonts w:eastAsia="MS Mincho"/>
                <w:lang w:eastAsia="ja-JP"/>
              </w:rPr>
              <w:t>Accueil -Café</w:t>
            </w:r>
          </w:p>
        </w:tc>
      </w:tr>
      <w:tr w:rsidR="00D5104C">
        <w:tblPrEx>
          <w:tblCellMar>
            <w:top w:w="0" w:type="dxa"/>
            <w:left w:w="0" w:type="dxa"/>
            <w:bottom w:w="0" w:type="dxa"/>
            <w:right w:w="0" w:type="dxa"/>
          </w:tblCellMar>
        </w:tblPrEx>
        <w:trPr>
          <w:trHeight w:val="488"/>
        </w:trPr>
        <w:tc>
          <w:tcPr>
            <w:tcW w:w="1700" w:type="dxa"/>
            <w:tcBorders>
              <w:top w:val="nil"/>
              <w:left w:val="nil"/>
              <w:bottom w:val="nil"/>
              <w:right w:val="nil"/>
            </w:tcBorders>
          </w:tcPr>
          <w:p w:rsidR="00D5104C" w:rsidRDefault="00D5104C">
            <w:pPr>
              <w:spacing w:after="0" w:line="240" w:lineRule="auto"/>
              <w:rPr>
                <w:rFonts w:eastAsia="MS Mincho"/>
                <w:color w:val="595959"/>
                <w:sz w:val="30"/>
                <w:szCs w:val="30"/>
                <w:lang w:eastAsia="ja-JP"/>
              </w:rPr>
            </w:pPr>
            <w:r>
              <w:rPr>
                <w:rFonts w:eastAsia="MS Mincho"/>
                <w:lang w:eastAsia="ja-JP"/>
              </w:rPr>
              <w:t>8- 9</w:t>
            </w:r>
          </w:p>
          <w:p w:rsidR="00D5104C" w:rsidRDefault="00D5104C">
            <w:pPr>
              <w:spacing w:after="0" w:line="240" w:lineRule="auto"/>
              <w:jc w:val="right"/>
              <w:rPr>
                <w:color w:val="auto"/>
                <w:kern w:val="0"/>
                <w:sz w:val="24"/>
                <w:szCs w:val="24"/>
              </w:rPr>
            </w:pPr>
            <w:r>
              <w:rPr>
                <w:rFonts w:eastAsia="MS Mincho"/>
                <w:lang w:eastAsia="ja-JP"/>
              </w:rPr>
              <w:t>Amphi D</w:t>
            </w:r>
          </w:p>
        </w:tc>
        <w:tc>
          <w:tcPr>
            <w:tcW w:w="4780" w:type="dxa"/>
            <w:tcBorders>
              <w:top w:val="nil"/>
              <w:left w:val="nil"/>
              <w:bottom w:val="nil"/>
              <w:right w:val="nil"/>
            </w:tcBorders>
          </w:tcPr>
          <w:p w:rsidR="00D5104C" w:rsidRDefault="00D5104C">
            <w:pPr>
              <w:spacing w:after="0" w:line="240" w:lineRule="auto"/>
              <w:rPr>
                <w:color w:val="auto"/>
                <w:kern w:val="0"/>
                <w:sz w:val="24"/>
                <w:szCs w:val="24"/>
              </w:rPr>
            </w:pPr>
            <w:r>
              <w:rPr>
                <w:rFonts w:eastAsia="MS Mincho"/>
                <w:b/>
                <w:bCs/>
                <w:lang w:eastAsia="ja-JP"/>
              </w:rPr>
              <w:t>Allocutions officielles</w:t>
            </w:r>
          </w:p>
        </w:tc>
      </w:tr>
      <w:tr w:rsidR="00D5104C">
        <w:tblPrEx>
          <w:tblCellMar>
            <w:top w:w="0" w:type="dxa"/>
            <w:left w:w="0" w:type="dxa"/>
            <w:bottom w:w="0" w:type="dxa"/>
            <w:right w:w="0" w:type="dxa"/>
          </w:tblCellMar>
        </w:tblPrEx>
        <w:trPr>
          <w:trHeight w:val="1026"/>
        </w:trPr>
        <w:tc>
          <w:tcPr>
            <w:tcW w:w="1700" w:type="dxa"/>
            <w:tcBorders>
              <w:top w:val="nil"/>
              <w:left w:val="nil"/>
              <w:bottom w:val="nil"/>
              <w:right w:val="nil"/>
            </w:tcBorders>
          </w:tcPr>
          <w:p w:rsidR="00D5104C" w:rsidRDefault="00D5104C">
            <w:pPr>
              <w:spacing w:after="0" w:line="240" w:lineRule="auto"/>
              <w:rPr>
                <w:rFonts w:eastAsia="MS Mincho"/>
                <w:color w:val="595959"/>
                <w:sz w:val="30"/>
                <w:szCs w:val="30"/>
                <w:lang w:eastAsia="ja-JP"/>
              </w:rPr>
            </w:pPr>
            <w:r>
              <w:rPr>
                <w:rFonts w:eastAsia="MS Mincho"/>
                <w:lang w:eastAsia="ja-JP"/>
              </w:rPr>
              <w:t>9- 9</w:t>
            </w:r>
          </w:p>
          <w:p w:rsidR="00D5104C" w:rsidRDefault="00D5104C">
            <w:pPr>
              <w:spacing w:after="0" w:line="240" w:lineRule="auto"/>
              <w:jc w:val="right"/>
              <w:rPr>
                <w:color w:val="auto"/>
                <w:kern w:val="0"/>
                <w:sz w:val="24"/>
                <w:szCs w:val="24"/>
              </w:rPr>
            </w:pPr>
            <w:r>
              <w:rPr>
                <w:rFonts w:eastAsia="MS Mincho"/>
                <w:lang w:eastAsia="ja-JP"/>
              </w:rPr>
              <w:t>Amphi D</w:t>
            </w:r>
          </w:p>
        </w:tc>
        <w:tc>
          <w:tcPr>
            <w:tcW w:w="4780" w:type="dxa"/>
            <w:tcBorders>
              <w:top w:val="nil"/>
              <w:left w:val="nil"/>
              <w:bottom w:val="nil"/>
              <w:right w:val="nil"/>
            </w:tcBorders>
          </w:tcPr>
          <w:p w:rsidR="00D5104C" w:rsidRDefault="00D5104C">
            <w:pPr>
              <w:spacing w:after="0" w:line="240" w:lineRule="auto"/>
              <w:rPr>
                <w:rFonts w:eastAsia="MS Mincho"/>
                <w:b/>
                <w:bCs/>
                <w:color w:val="595959"/>
                <w:sz w:val="30"/>
                <w:szCs w:val="30"/>
                <w:lang w:eastAsia="ja-JP"/>
              </w:rPr>
            </w:pPr>
            <w:r>
              <w:rPr>
                <w:rFonts w:eastAsia="MS Mincho"/>
                <w:b/>
                <w:bCs/>
                <w:lang w:eastAsia="ja-JP"/>
              </w:rPr>
              <w:t>Éducation au développement durable: objectifs développement durable</w:t>
            </w:r>
          </w:p>
          <w:p w:rsidR="00D5104C" w:rsidRDefault="00D5104C" w:rsidP="00D5104C">
            <w:pPr>
              <w:numPr>
                <w:ilvl w:val="0"/>
                <w:numId w:val="1"/>
              </w:numPr>
              <w:spacing w:after="0" w:line="240" w:lineRule="auto"/>
              <w:ind w:left="566" w:hanging="566"/>
              <w:rPr>
                <w:color w:val="auto"/>
                <w:kern w:val="0"/>
                <w:sz w:val="24"/>
                <w:szCs w:val="24"/>
              </w:rPr>
            </w:pPr>
            <w:r>
              <w:rPr>
                <w:rFonts w:eastAsia="MS Mincho"/>
                <w:b/>
                <w:bCs/>
                <w:lang w:eastAsia="ja-JP"/>
              </w:rPr>
              <w:t>Jean-Michel Valantin, haut-fonctionnaire au développement durable, conseiller du DGESCO</w:t>
            </w:r>
          </w:p>
        </w:tc>
      </w:tr>
      <w:tr w:rsidR="00D5104C">
        <w:tblPrEx>
          <w:tblCellMar>
            <w:top w:w="0" w:type="dxa"/>
            <w:left w:w="0" w:type="dxa"/>
            <w:bottom w:w="0" w:type="dxa"/>
            <w:right w:w="0" w:type="dxa"/>
          </w:tblCellMar>
        </w:tblPrEx>
        <w:trPr>
          <w:trHeight w:val="2885"/>
        </w:trPr>
        <w:tc>
          <w:tcPr>
            <w:tcW w:w="1700" w:type="dxa"/>
            <w:tcBorders>
              <w:top w:val="nil"/>
              <w:left w:val="nil"/>
              <w:bottom w:val="nil"/>
              <w:right w:val="nil"/>
            </w:tcBorders>
          </w:tcPr>
          <w:p w:rsidR="00D5104C" w:rsidRDefault="00D5104C">
            <w:pPr>
              <w:spacing w:after="0" w:line="240" w:lineRule="auto"/>
              <w:rPr>
                <w:rFonts w:eastAsia="MS Mincho"/>
                <w:color w:val="595959"/>
                <w:sz w:val="30"/>
                <w:szCs w:val="30"/>
                <w:lang w:eastAsia="ja-JP"/>
              </w:rPr>
            </w:pPr>
            <w:r>
              <w:rPr>
                <w:rFonts w:eastAsia="MS Mincho"/>
                <w:lang w:eastAsia="ja-JP"/>
              </w:rPr>
              <w:t>9- 11</w:t>
            </w:r>
          </w:p>
          <w:p w:rsidR="00D5104C" w:rsidRDefault="00D5104C">
            <w:pPr>
              <w:spacing w:after="0" w:line="240" w:lineRule="auto"/>
              <w:jc w:val="right"/>
              <w:rPr>
                <w:color w:val="auto"/>
                <w:kern w:val="0"/>
                <w:sz w:val="24"/>
                <w:szCs w:val="24"/>
              </w:rPr>
            </w:pPr>
            <w:r>
              <w:rPr>
                <w:rFonts w:eastAsia="MS Mincho"/>
                <w:lang w:eastAsia="ja-JP"/>
              </w:rPr>
              <w:t>Amphi D</w:t>
            </w:r>
          </w:p>
        </w:tc>
        <w:tc>
          <w:tcPr>
            <w:tcW w:w="4780" w:type="dxa"/>
            <w:tcBorders>
              <w:top w:val="nil"/>
              <w:left w:val="nil"/>
              <w:bottom w:val="nil"/>
              <w:right w:val="nil"/>
            </w:tcBorders>
          </w:tcPr>
          <w:p w:rsidR="00D5104C" w:rsidRDefault="00D5104C">
            <w:pPr>
              <w:spacing w:after="0" w:line="240" w:lineRule="auto"/>
              <w:rPr>
                <w:rFonts w:eastAsia="MS Mincho"/>
                <w:b/>
                <w:bCs/>
                <w:lang w:eastAsia="ja-JP"/>
              </w:rPr>
            </w:pPr>
            <w:r>
              <w:rPr>
                <w:rFonts w:eastAsia="MS Mincho"/>
                <w:lang w:eastAsia="ja-JP"/>
              </w:rPr>
              <w:t>Table ronde</w:t>
            </w:r>
            <w:r>
              <w:rPr>
                <w:rFonts w:eastAsia="MS Mincho"/>
                <w:b/>
                <w:bCs/>
                <w:lang w:eastAsia="ja-JP"/>
              </w:rPr>
              <w:t xml:space="preserve">: </w:t>
            </w:r>
          </w:p>
          <w:p w:rsidR="00D5104C" w:rsidRDefault="00D5104C">
            <w:pPr>
              <w:spacing w:after="0" w:line="240" w:lineRule="auto"/>
              <w:rPr>
                <w:rFonts w:eastAsia="MS Mincho"/>
                <w:b/>
                <w:bCs/>
                <w:color w:val="595959"/>
                <w:sz w:val="30"/>
                <w:szCs w:val="30"/>
                <w:lang w:eastAsia="ja-JP"/>
              </w:rPr>
            </w:pPr>
            <w:r>
              <w:rPr>
                <w:rFonts w:eastAsia="MS Mincho"/>
                <w:b/>
                <w:bCs/>
                <w:lang w:eastAsia="ja-JP"/>
              </w:rPr>
              <w:t>Regards croisés sur le développement durable, appuis et obstacle à son éducation</w:t>
            </w:r>
          </w:p>
          <w:p w:rsidR="00D5104C" w:rsidRDefault="00D5104C" w:rsidP="00D5104C">
            <w:pPr>
              <w:numPr>
                <w:ilvl w:val="0"/>
                <w:numId w:val="1"/>
              </w:numPr>
              <w:spacing w:after="0" w:line="240" w:lineRule="auto"/>
              <w:ind w:left="566" w:hanging="566"/>
              <w:rPr>
                <w:rFonts w:eastAsia="MS Mincho"/>
                <w:color w:val="595959"/>
                <w:sz w:val="30"/>
                <w:szCs w:val="30"/>
                <w:lang w:eastAsia="ja-JP"/>
              </w:rPr>
            </w:pPr>
            <w:r>
              <w:rPr>
                <w:rFonts w:eastAsia="MS Mincho"/>
                <w:b/>
                <w:bCs/>
                <w:lang w:eastAsia="ja-JP"/>
              </w:rPr>
              <w:t>Mariane Domeizel, vice-présidente Aix-Marseille Université, déléguée au développement durable</w:t>
            </w:r>
          </w:p>
          <w:p w:rsidR="00D5104C" w:rsidRDefault="00D5104C" w:rsidP="00D5104C">
            <w:pPr>
              <w:numPr>
                <w:ilvl w:val="0"/>
                <w:numId w:val="1"/>
              </w:numPr>
              <w:spacing w:after="0" w:line="240" w:lineRule="auto"/>
              <w:ind w:left="566" w:hanging="566"/>
              <w:rPr>
                <w:rFonts w:eastAsia="MS Mincho"/>
                <w:color w:val="595959"/>
                <w:sz w:val="30"/>
                <w:szCs w:val="30"/>
                <w:lang w:eastAsia="ja-JP"/>
              </w:rPr>
            </w:pPr>
            <w:r>
              <w:rPr>
                <w:rFonts w:eastAsia="MS Mincho"/>
                <w:b/>
                <w:bCs/>
                <w:lang w:eastAsia="ja-JP"/>
              </w:rPr>
              <w:t>Gérald Attali, IA-IPR d’histoire-géographie, référent académique EDD</w:t>
            </w:r>
          </w:p>
          <w:p w:rsidR="00D5104C" w:rsidRDefault="00D5104C" w:rsidP="00D5104C">
            <w:pPr>
              <w:numPr>
                <w:ilvl w:val="0"/>
                <w:numId w:val="1"/>
              </w:numPr>
              <w:spacing w:after="0" w:line="240" w:lineRule="auto"/>
              <w:ind w:left="566" w:hanging="566"/>
              <w:rPr>
                <w:rFonts w:eastAsia="MS Mincho"/>
                <w:color w:val="595959"/>
                <w:sz w:val="30"/>
                <w:szCs w:val="30"/>
                <w:lang w:eastAsia="ja-JP"/>
              </w:rPr>
            </w:pPr>
            <w:r>
              <w:rPr>
                <w:rFonts w:eastAsia="MS Mincho"/>
                <w:b/>
                <w:bCs/>
                <w:lang w:eastAsia="ja-JP"/>
              </w:rPr>
              <w:t>Nicolas Sembel, professeur des universités à l’ESPE d’Aix-Marseille</w:t>
            </w:r>
          </w:p>
          <w:p w:rsidR="00D5104C" w:rsidRDefault="00D5104C" w:rsidP="00D5104C">
            <w:pPr>
              <w:numPr>
                <w:ilvl w:val="0"/>
                <w:numId w:val="1"/>
              </w:numPr>
              <w:spacing w:after="0" w:line="240" w:lineRule="auto"/>
              <w:ind w:left="566" w:hanging="566"/>
              <w:rPr>
                <w:color w:val="auto"/>
                <w:kern w:val="0"/>
                <w:sz w:val="24"/>
                <w:szCs w:val="24"/>
              </w:rPr>
            </w:pPr>
            <w:r>
              <w:rPr>
                <w:rFonts w:eastAsia="MS Mincho"/>
                <w:b/>
                <w:bCs/>
                <w:lang w:eastAsia="ja-JP"/>
              </w:rPr>
              <w:t>Alain Legardez, professeur émérite à l’ESPE d’Aix-Marseille</w:t>
            </w:r>
          </w:p>
        </w:tc>
      </w:tr>
      <w:tr w:rsidR="00D5104C">
        <w:tblPrEx>
          <w:tblCellMar>
            <w:top w:w="0" w:type="dxa"/>
            <w:left w:w="0" w:type="dxa"/>
            <w:bottom w:w="0" w:type="dxa"/>
            <w:right w:w="0" w:type="dxa"/>
          </w:tblCellMar>
        </w:tblPrEx>
        <w:trPr>
          <w:trHeight w:val="488"/>
        </w:trPr>
        <w:tc>
          <w:tcPr>
            <w:tcW w:w="1700" w:type="dxa"/>
            <w:tcBorders>
              <w:top w:val="nil"/>
              <w:left w:val="nil"/>
              <w:bottom w:val="nil"/>
              <w:right w:val="nil"/>
            </w:tcBorders>
          </w:tcPr>
          <w:p w:rsidR="00D5104C" w:rsidRDefault="00D5104C">
            <w:pPr>
              <w:spacing w:after="0" w:line="240" w:lineRule="auto"/>
              <w:rPr>
                <w:rFonts w:eastAsia="MS Mincho"/>
                <w:color w:val="595959"/>
                <w:sz w:val="30"/>
                <w:szCs w:val="30"/>
                <w:lang w:eastAsia="ja-JP"/>
              </w:rPr>
            </w:pPr>
            <w:r>
              <w:rPr>
                <w:rFonts w:eastAsia="MS Mincho"/>
                <w:lang w:eastAsia="ja-JP"/>
              </w:rPr>
              <w:t>11- 11</w:t>
            </w:r>
          </w:p>
          <w:p w:rsidR="00D5104C" w:rsidRDefault="00D5104C">
            <w:pPr>
              <w:spacing w:after="0" w:line="240" w:lineRule="auto"/>
              <w:jc w:val="right"/>
              <w:rPr>
                <w:color w:val="auto"/>
                <w:kern w:val="0"/>
                <w:sz w:val="24"/>
                <w:szCs w:val="24"/>
              </w:rPr>
            </w:pPr>
            <w:r>
              <w:rPr>
                <w:rFonts w:eastAsia="MS Mincho"/>
                <w:lang w:eastAsia="ja-JP"/>
              </w:rPr>
              <w:t>Amphi D</w:t>
            </w:r>
          </w:p>
        </w:tc>
        <w:tc>
          <w:tcPr>
            <w:tcW w:w="4780" w:type="dxa"/>
            <w:tcBorders>
              <w:top w:val="nil"/>
              <w:left w:val="nil"/>
              <w:bottom w:val="nil"/>
              <w:right w:val="nil"/>
            </w:tcBorders>
          </w:tcPr>
          <w:p w:rsidR="00D5104C" w:rsidRDefault="00D5104C">
            <w:pPr>
              <w:spacing w:after="0" w:line="240" w:lineRule="auto"/>
              <w:rPr>
                <w:color w:val="auto"/>
                <w:kern w:val="0"/>
                <w:sz w:val="24"/>
                <w:szCs w:val="24"/>
              </w:rPr>
            </w:pPr>
            <w:r>
              <w:rPr>
                <w:rFonts w:eastAsia="MS Mincho"/>
                <w:lang w:eastAsia="ja-JP"/>
              </w:rPr>
              <w:t>Débat avec la salle</w:t>
            </w:r>
          </w:p>
        </w:tc>
      </w:tr>
      <w:tr w:rsidR="00D5104C">
        <w:tblPrEx>
          <w:tblCellMar>
            <w:top w:w="0" w:type="dxa"/>
            <w:left w:w="0" w:type="dxa"/>
            <w:bottom w:w="0" w:type="dxa"/>
            <w:right w:w="0" w:type="dxa"/>
          </w:tblCellMar>
        </w:tblPrEx>
        <w:trPr>
          <w:trHeight w:val="732"/>
        </w:trPr>
        <w:tc>
          <w:tcPr>
            <w:tcW w:w="1700" w:type="dxa"/>
            <w:tcBorders>
              <w:top w:val="nil"/>
              <w:left w:val="nil"/>
              <w:bottom w:val="nil"/>
              <w:right w:val="nil"/>
            </w:tcBorders>
          </w:tcPr>
          <w:p w:rsidR="00D5104C" w:rsidRDefault="00D5104C">
            <w:pPr>
              <w:spacing w:after="0" w:line="240" w:lineRule="auto"/>
              <w:rPr>
                <w:rFonts w:eastAsia="MS Mincho"/>
                <w:color w:val="595959"/>
                <w:sz w:val="30"/>
                <w:szCs w:val="30"/>
                <w:lang w:eastAsia="ja-JP"/>
              </w:rPr>
            </w:pPr>
            <w:r>
              <w:rPr>
                <w:rFonts w:eastAsia="MS Mincho"/>
                <w:lang w:eastAsia="ja-JP"/>
              </w:rPr>
              <w:t>11- 14</w:t>
            </w:r>
          </w:p>
          <w:p w:rsidR="00D5104C" w:rsidRDefault="00D5104C">
            <w:pPr>
              <w:spacing w:after="0" w:line="240" w:lineRule="auto"/>
              <w:jc w:val="right"/>
              <w:rPr>
                <w:color w:val="auto"/>
                <w:kern w:val="0"/>
                <w:sz w:val="24"/>
                <w:szCs w:val="24"/>
              </w:rPr>
            </w:pPr>
            <w:r>
              <w:rPr>
                <w:rFonts w:eastAsia="MS Mincho"/>
                <w:lang w:eastAsia="ja-JP"/>
              </w:rPr>
              <w:t>Salle de réception, cour</w:t>
            </w:r>
          </w:p>
        </w:tc>
        <w:tc>
          <w:tcPr>
            <w:tcW w:w="4780" w:type="dxa"/>
            <w:tcBorders>
              <w:top w:val="nil"/>
              <w:left w:val="nil"/>
              <w:bottom w:val="nil"/>
              <w:right w:val="nil"/>
            </w:tcBorders>
          </w:tcPr>
          <w:p w:rsidR="00D5104C" w:rsidRDefault="00D5104C">
            <w:pPr>
              <w:spacing w:after="0" w:line="240" w:lineRule="auto"/>
              <w:rPr>
                <w:color w:val="auto"/>
                <w:kern w:val="0"/>
                <w:sz w:val="24"/>
                <w:szCs w:val="24"/>
              </w:rPr>
            </w:pPr>
            <w:r>
              <w:rPr>
                <w:rFonts w:eastAsia="MS Mincho"/>
                <w:b/>
                <w:bCs/>
                <w:lang w:eastAsia="ja-JP"/>
              </w:rPr>
              <w:t>Repas - Rencontre avec les partenaires</w:t>
            </w:r>
          </w:p>
        </w:tc>
      </w:tr>
      <w:tr w:rsidR="00D5104C">
        <w:tblPrEx>
          <w:tblCellMar>
            <w:top w:w="0" w:type="dxa"/>
            <w:left w:w="0" w:type="dxa"/>
            <w:bottom w:w="0" w:type="dxa"/>
            <w:right w:w="0" w:type="dxa"/>
          </w:tblCellMar>
        </w:tblPrEx>
        <w:trPr>
          <w:trHeight w:val="551"/>
        </w:trPr>
        <w:tc>
          <w:tcPr>
            <w:tcW w:w="1700" w:type="dxa"/>
            <w:tcBorders>
              <w:top w:val="nil"/>
              <w:left w:val="nil"/>
              <w:bottom w:val="nil"/>
              <w:right w:val="nil"/>
            </w:tcBorders>
          </w:tcPr>
          <w:p w:rsidR="00D5104C" w:rsidRDefault="00D5104C">
            <w:pPr>
              <w:spacing w:after="0" w:line="240" w:lineRule="auto"/>
              <w:rPr>
                <w:rFonts w:eastAsia="MS Mincho"/>
                <w:color w:val="595959"/>
                <w:sz w:val="30"/>
                <w:szCs w:val="30"/>
                <w:lang w:eastAsia="ja-JP"/>
              </w:rPr>
            </w:pPr>
            <w:r>
              <w:rPr>
                <w:rFonts w:eastAsia="MS Mincho"/>
                <w:lang w:eastAsia="ja-JP"/>
              </w:rPr>
              <w:t>14- 14</w:t>
            </w:r>
          </w:p>
          <w:p w:rsidR="00D5104C" w:rsidRDefault="00D5104C">
            <w:pPr>
              <w:spacing w:after="0" w:line="240" w:lineRule="auto"/>
              <w:jc w:val="right"/>
              <w:rPr>
                <w:color w:val="auto"/>
                <w:kern w:val="0"/>
                <w:sz w:val="24"/>
                <w:szCs w:val="24"/>
              </w:rPr>
            </w:pPr>
            <w:r>
              <w:rPr>
                <w:rFonts w:eastAsia="MS Mincho"/>
                <w:lang w:eastAsia="ja-JP"/>
              </w:rPr>
              <w:t>Amphi D</w:t>
            </w:r>
          </w:p>
        </w:tc>
        <w:tc>
          <w:tcPr>
            <w:tcW w:w="4780" w:type="dxa"/>
            <w:tcBorders>
              <w:top w:val="nil"/>
              <w:left w:val="nil"/>
              <w:bottom w:val="nil"/>
              <w:right w:val="nil"/>
            </w:tcBorders>
          </w:tcPr>
          <w:p w:rsidR="00D5104C" w:rsidRDefault="00D5104C">
            <w:pPr>
              <w:spacing w:after="0" w:line="240" w:lineRule="auto"/>
              <w:rPr>
                <w:color w:val="auto"/>
                <w:kern w:val="0"/>
                <w:sz w:val="24"/>
                <w:szCs w:val="24"/>
              </w:rPr>
            </w:pPr>
            <w:r>
              <w:rPr>
                <w:rFonts w:eastAsia="MS Mincho"/>
                <w:b/>
                <w:bCs/>
                <w:lang w:eastAsia="ja-JP"/>
              </w:rPr>
              <w:t>Enjeux et contenus des ateliers</w:t>
            </w:r>
          </w:p>
        </w:tc>
      </w:tr>
      <w:tr w:rsidR="00D5104C">
        <w:tblPrEx>
          <w:tblCellMar>
            <w:top w:w="0" w:type="dxa"/>
            <w:left w:w="0" w:type="dxa"/>
            <w:bottom w:w="0" w:type="dxa"/>
            <w:right w:w="0" w:type="dxa"/>
          </w:tblCellMar>
        </w:tblPrEx>
        <w:trPr>
          <w:trHeight w:val="407"/>
        </w:trPr>
        <w:tc>
          <w:tcPr>
            <w:tcW w:w="1700" w:type="dxa"/>
            <w:tcBorders>
              <w:top w:val="nil"/>
              <w:left w:val="nil"/>
              <w:bottom w:val="nil"/>
              <w:right w:val="nil"/>
            </w:tcBorders>
          </w:tcPr>
          <w:p w:rsidR="00D5104C" w:rsidRDefault="00D5104C">
            <w:pPr>
              <w:spacing w:after="0" w:line="240" w:lineRule="auto"/>
              <w:rPr>
                <w:color w:val="auto"/>
                <w:kern w:val="0"/>
                <w:sz w:val="24"/>
                <w:szCs w:val="24"/>
              </w:rPr>
            </w:pPr>
            <w:r>
              <w:rPr>
                <w:rFonts w:eastAsia="MS Mincho"/>
                <w:lang w:eastAsia="ja-JP"/>
              </w:rPr>
              <w:t>14- 16</w:t>
            </w:r>
          </w:p>
        </w:tc>
        <w:tc>
          <w:tcPr>
            <w:tcW w:w="4780" w:type="dxa"/>
            <w:tcBorders>
              <w:top w:val="nil"/>
              <w:left w:val="nil"/>
              <w:bottom w:val="nil"/>
              <w:right w:val="nil"/>
            </w:tcBorders>
          </w:tcPr>
          <w:p w:rsidR="00D5104C" w:rsidRDefault="00D5104C">
            <w:pPr>
              <w:spacing w:after="0" w:line="240" w:lineRule="auto"/>
              <w:rPr>
                <w:color w:val="auto"/>
                <w:kern w:val="0"/>
                <w:sz w:val="24"/>
                <w:szCs w:val="24"/>
              </w:rPr>
            </w:pPr>
            <w:r>
              <w:rPr>
                <w:rFonts w:eastAsia="MS Mincho"/>
                <w:b/>
                <w:bCs/>
                <w:lang w:eastAsia="ja-JP"/>
              </w:rPr>
              <w:t>Ateliers</w:t>
            </w:r>
          </w:p>
        </w:tc>
      </w:tr>
      <w:tr w:rsidR="00D5104C">
        <w:tblPrEx>
          <w:tblCellMar>
            <w:top w:w="0" w:type="dxa"/>
            <w:left w:w="0" w:type="dxa"/>
            <w:bottom w:w="0" w:type="dxa"/>
            <w:right w:w="0" w:type="dxa"/>
          </w:tblCellMar>
        </w:tblPrEx>
        <w:trPr>
          <w:trHeight w:val="488"/>
        </w:trPr>
        <w:tc>
          <w:tcPr>
            <w:tcW w:w="1700" w:type="dxa"/>
            <w:tcBorders>
              <w:top w:val="nil"/>
              <w:left w:val="nil"/>
              <w:bottom w:val="nil"/>
              <w:right w:val="nil"/>
            </w:tcBorders>
          </w:tcPr>
          <w:p w:rsidR="00D5104C" w:rsidRDefault="00D5104C">
            <w:pPr>
              <w:spacing w:after="0" w:line="240" w:lineRule="auto"/>
              <w:jc w:val="right"/>
              <w:rPr>
                <w:color w:val="auto"/>
                <w:kern w:val="0"/>
                <w:sz w:val="24"/>
                <w:szCs w:val="24"/>
              </w:rPr>
            </w:pPr>
            <w:r>
              <w:rPr>
                <w:rFonts w:eastAsia="MS Mincho"/>
                <w:b/>
                <w:bCs/>
                <w:lang w:eastAsia="ja-JP"/>
              </w:rPr>
              <w:t>C</w:t>
            </w:r>
          </w:p>
        </w:tc>
        <w:tc>
          <w:tcPr>
            <w:tcW w:w="4780" w:type="dxa"/>
            <w:tcBorders>
              <w:top w:val="nil"/>
              <w:left w:val="nil"/>
              <w:bottom w:val="nil"/>
              <w:right w:val="nil"/>
            </w:tcBorders>
          </w:tcPr>
          <w:p w:rsidR="00D5104C" w:rsidRDefault="00D5104C">
            <w:pPr>
              <w:spacing w:after="0" w:line="240" w:lineRule="auto"/>
              <w:ind w:left="708"/>
              <w:rPr>
                <w:color w:val="auto"/>
                <w:kern w:val="0"/>
                <w:sz w:val="24"/>
                <w:szCs w:val="24"/>
              </w:rPr>
            </w:pPr>
            <w:r>
              <w:rPr>
                <w:rFonts w:eastAsia="MS Mincho"/>
                <w:b/>
                <w:bCs/>
                <w:lang w:eastAsia="ja-JP"/>
              </w:rPr>
              <w:t>Les partenariats: quels types de projets possibles ?</w:t>
            </w:r>
          </w:p>
        </w:tc>
      </w:tr>
      <w:tr w:rsidR="00D5104C">
        <w:tblPrEx>
          <w:tblCellMar>
            <w:top w:w="0" w:type="dxa"/>
            <w:left w:w="0" w:type="dxa"/>
            <w:bottom w:w="0" w:type="dxa"/>
            <w:right w:w="0" w:type="dxa"/>
          </w:tblCellMar>
        </w:tblPrEx>
        <w:trPr>
          <w:trHeight w:val="732"/>
        </w:trPr>
        <w:tc>
          <w:tcPr>
            <w:tcW w:w="1700" w:type="dxa"/>
            <w:tcBorders>
              <w:top w:val="nil"/>
              <w:left w:val="nil"/>
              <w:bottom w:val="nil"/>
              <w:right w:val="nil"/>
            </w:tcBorders>
          </w:tcPr>
          <w:p w:rsidR="00D5104C" w:rsidRDefault="00D5104C">
            <w:pPr>
              <w:spacing w:after="0" w:line="240" w:lineRule="auto"/>
              <w:jc w:val="right"/>
              <w:rPr>
                <w:color w:val="auto"/>
                <w:kern w:val="0"/>
                <w:sz w:val="24"/>
                <w:szCs w:val="24"/>
              </w:rPr>
            </w:pPr>
            <w:r>
              <w:rPr>
                <w:rFonts w:eastAsia="MS Mincho"/>
                <w:b/>
                <w:bCs/>
                <w:lang w:eastAsia="ja-JP"/>
              </w:rPr>
              <w:t>C</w:t>
            </w:r>
          </w:p>
        </w:tc>
        <w:tc>
          <w:tcPr>
            <w:tcW w:w="4780" w:type="dxa"/>
            <w:tcBorders>
              <w:top w:val="nil"/>
              <w:left w:val="nil"/>
              <w:bottom w:val="nil"/>
              <w:right w:val="nil"/>
            </w:tcBorders>
          </w:tcPr>
          <w:p w:rsidR="00D5104C" w:rsidRDefault="00D5104C">
            <w:pPr>
              <w:spacing w:after="0" w:line="240" w:lineRule="auto"/>
              <w:ind w:left="708"/>
              <w:rPr>
                <w:color w:val="auto"/>
                <w:kern w:val="0"/>
                <w:sz w:val="24"/>
                <w:szCs w:val="24"/>
              </w:rPr>
            </w:pPr>
            <w:r>
              <w:rPr>
                <w:rFonts w:eastAsia="MS Mincho"/>
                <w:b/>
                <w:bCs/>
                <w:lang w:eastAsia="ja-JP"/>
              </w:rPr>
              <w:t>Apports des nouvelles technologies à la sensibilisation et à l’éducation au développement durable.</w:t>
            </w:r>
          </w:p>
        </w:tc>
      </w:tr>
      <w:tr w:rsidR="00D5104C">
        <w:tblPrEx>
          <w:tblCellMar>
            <w:top w:w="0" w:type="dxa"/>
            <w:left w:w="0" w:type="dxa"/>
            <w:bottom w:w="0" w:type="dxa"/>
            <w:right w:w="0" w:type="dxa"/>
          </w:tblCellMar>
        </w:tblPrEx>
        <w:trPr>
          <w:trHeight w:val="402"/>
        </w:trPr>
        <w:tc>
          <w:tcPr>
            <w:tcW w:w="1700" w:type="dxa"/>
            <w:tcBorders>
              <w:top w:val="nil"/>
              <w:left w:val="nil"/>
              <w:bottom w:val="nil"/>
              <w:right w:val="nil"/>
            </w:tcBorders>
          </w:tcPr>
          <w:p w:rsidR="00D5104C" w:rsidRDefault="00D5104C">
            <w:pPr>
              <w:spacing w:after="0" w:line="240" w:lineRule="auto"/>
              <w:jc w:val="right"/>
              <w:rPr>
                <w:color w:val="auto"/>
                <w:kern w:val="0"/>
                <w:sz w:val="24"/>
                <w:szCs w:val="24"/>
              </w:rPr>
            </w:pPr>
            <w:r>
              <w:rPr>
                <w:rFonts w:eastAsia="MS Mincho"/>
                <w:b/>
                <w:bCs/>
                <w:lang w:eastAsia="ja-JP"/>
              </w:rPr>
              <w:t>C</w:t>
            </w:r>
          </w:p>
        </w:tc>
        <w:tc>
          <w:tcPr>
            <w:tcW w:w="4780" w:type="dxa"/>
            <w:tcBorders>
              <w:top w:val="nil"/>
              <w:left w:val="nil"/>
              <w:bottom w:val="nil"/>
              <w:right w:val="nil"/>
            </w:tcBorders>
          </w:tcPr>
          <w:p w:rsidR="00D5104C" w:rsidRDefault="00D5104C">
            <w:pPr>
              <w:spacing w:after="0" w:line="240" w:lineRule="auto"/>
              <w:ind w:left="708"/>
              <w:rPr>
                <w:color w:val="auto"/>
                <w:kern w:val="0"/>
                <w:sz w:val="24"/>
                <w:szCs w:val="24"/>
              </w:rPr>
            </w:pPr>
            <w:r>
              <w:rPr>
                <w:rFonts w:eastAsia="MS Mincho"/>
                <w:b/>
                <w:bCs/>
                <w:lang w:eastAsia="ja-JP"/>
              </w:rPr>
              <w:t>Devenir référent EDD de son établissement</w:t>
            </w:r>
          </w:p>
        </w:tc>
      </w:tr>
      <w:tr w:rsidR="00D5104C">
        <w:tblPrEx>
          <w:tblCellMar>
            <w:top w:w="0" w:type="dxa"/>
            <w:left w:w="0" w:type="dxa"/>
            <w:bottom w:w="0" w:type="dxa"/>
            <w:right w:w="0" w:type="dxa"/>
          </w:tblCellMar>
        </w:tblPrEx>
        <w:trPr>
          <w:trHeight w:val="732"/>
        </w:trPr>
        <w:tc>
          <w:tcPr>
            <w:tcW w:w="1700" w:type="dxa"/>
            <w:tcBorders>
              <w:top w:val="nil"/>
              <w:left w:val="nil"/>
              <w:bottom w:val="nil"/>
              <w:right w:val="nil"/>
            </w:tcBorders>
          </w:tcPr>
          <w:p w:rsidR="00D5104C" w:rsidRDefault="00D5104C">
            <w:pPr>
              <w:spacing w:after="0" w:line="240" w:lineRule="auto"/>
              <w:jc w:val="right"/>
              <w:rPr>
                <w:color w:val="auto"/>
                <w:kern w:val="0"/>
                <w:sz w:val="24"/>
                <w:szCs w:val="24"/>
              </w:rPr>
            </w:pPr>
            <w:r>
              <w:rPr>
                <w:rFonts w:eastAsia="MS Mincho"/>
                <w:b/>
                <w:bCs/>
                <w:lang w:eastAsia="ja-JP"/>
              </w:rPr>
              <w:t>D 1</w:t>
            </w:r>
          </w:p>
        </w:tc>
        <w:tc>
          <w:tcPr>
            <w:tcW w:w="4780" w:type="dxa"/>
            <w:tcBorders>
              <w:top w:val="nil"/>
              <w:left w:val="nil"/>
              <w:bottom w:val="nil"/>
              <w:right w:val="nil"/>
            </w:tcBorders>
          </w:tcPr>
          <w:p w:rsidR="00D5104C" w:rsidRDefault="00D5104C">
            <w:pPr>
              <w:spacing w:after="0" w:line="240" w:lineRule="auto"/>
              <w:ind w:left="708"/>
              <w:rPr>
                <w:color w:val="auto"/>
                <w:kern w:val="0"/>
                <w:sz w:val="24"/>
                <w:szCs w:val="24"/>
              </w:rPr>
            </w:pPr>
            <w:r>
              <w:rPr>
                <w:rFonts w:eastAsia="MS Mincho"/>
                <w:b/>
                <w:bCs/>
                <w:lang w:eastAsia="ja-JP"/>
              </w:rPr>
              <w:t>L’EDD, outil de nouvelles pratiques professionnelles pour « une éducation universelle » : l’égalité femmes hommes</w:t>
            </w:r>
          </w:p>
        </w:tc>
      </w:tr>
      <w:tr w:rsidR="00D5104C">
        <w:tblPrEx>
          <w:tblCellMar>
            <w:top w:w="0" w:type="dxa"/>
            <w:left w:w="0" w:type="dxa"/>
            <w:bottom w:w="0" w:type="dxa"/>
            <w:right w:w="0" w:type="dxa"/>
          </w:tblCellMar>
        </w:tblPrEx>
        <w:trPr>
          <w:trHeight w:val="607"/>
        </w:trPr>
        <w:tc>
          <w:tcPr>
            <w:tcW w:w="1700" w:type="dxa"/>
            <w:tcBorders>
              <w:top w:val="nil"/>
              <w:left w:val="nil"/>
              <w:bottom w:val="nil"/>
              <w:right w:val="nil"/>
            </w:tcBorders>
          </w:tcPr>
          <w:p w:rsidR="00D5104C" w:rsidRDefault="00D5104C">
            <w:pPr>
              <w:spacing w:after="0" w:line="240" w:lineRule="auto"/>
              <w:rPr>
                <w:color w:val="auto"/>
                <w:kern w:val="0"/>
                <w:sz w:val="24"/>
                <w:szCs w:val="24"/>
              </w:rPr>
            </w:pPr>
            <w:r>
              <w:rPr>
                <w:rFonts w:eastAsia="MS Mincho"/>
                <w:b/>
                <w:bCs/>
                <w:lang w:eastAsia="ja-JP"/>
              </w:rPr>
              <w:t>9– 9</w:t>
            </w:r>
          </w:p>
        </w:tc>
        <w:tc>
          <w:tcPr>
            <w:tcW w:w="4780" w:type="dxa"/>
            <w:tcBorders>
              <w:top w:val="nil"/>
              <w:left w:val="nil"/>
              <w:bottom w:val="nil"/>
              <w:right w:val="nil"/>
            </w:tcBorders>
          </w:tcPr>
          <w:p w:rsidR="00D5104C" w:rsidRDefault="00D5104C">
            <w:pPr>
              <w:spacing w:after="0" w:line="240" w:lineRule="auto"/>
              <w:rPr>
                <w:color w:val="auto"/>
                <w:kern w:val="0"/>
                <w:sz w:val="24"/>
                <w:szCs w:val="24"/>
              </w:rPr>
            </w:pPr>
            <w:r>
              <w:rPr>
                <w:rFonts w:eastAsia="MS Mincho"/>
                <w:b/>
                <w:bCs/>
                <w:lang w:eastAsia="ja-JP"/>
              </w:rPr>
              <w:t>Accueil –Répartition dans les ateliers</w:t>
            </w:r>
          </w:p>
        </w:tc>
      </w:tr>
      <w:tr w:rsidR="00D5104C">
        <w:tblPrEx>
          <w:tblCellMar>
            <w:top w:w="0" w:type="dxa"/>
            <w:left w:w="0" w:type="dxa"/>
            <w:bottom w:w="0" w:type="dxa"/>
            <w:right w:w="0" w:type="dxa"/>
          </w:tblCellMar>
        </w:tblPrEx>
        <w:trPr>
          <w:trHeight w:val="607"/>
        </w:trPr>
        <w:tc>
          <w:tcPr>
            <w:tcW w:w="1700" w:type="dxa"/>
            <w:tcBorders>
              <w:top w:val="nil"/>
              <w:left w:val="nil"/>
              <w:bottom w:val="nil"/>
              <w:right w:val="nil"/>
            </w:tcBorders>
          </w:tcPr>
          <w:p w:rsidR="00D5104C" w:rsidRDefault="00D5104C">
            <w:pPr>
              <w:spacing w:after="0" w:line="240" w:lineRule="auto"/>
              <w:rPr>
                <w:color w:val="auto"/>
                <w:kern w:val="0"/>
                <w:sz w:val="24"/>
                <w:szCs w:val="24"/>
              </w:rPr>
            </w:pPr>
            <w:r>
              <w:rPr>
                <w:rFonts w:eastAsia="MS Mincho"/>
                <w:b/>
                <w:bCs/>
                <w:lang w:eastAsia="ja-JP"/>
              </w:rPr>
              <w:t>9– 11</w:t>
            </w:r>
          </w:p>
        </w:tc>
        <w:tc>
          <w:tcPr>
            <w:tcW w:w="4780" w:type="dxa"/>
            <w:tcBorders>
              <w:top w:val="nil"/>
              <w:left w:val="nil"/>
              <w:bottom w:val="nil"/>
              <w:right w:val="nil"/>
            </w:tcBorders>
          </w:tcPr>
          <w:p w:rsidR="00D5104C" w:rsidRDefault="00D5104C">
            <w:pPr>
              <w:spacing w:after="0" w:line="240" w:lineRule="auto"/>
              <w:rPr>
                <w:color w:val="auto"/>
                <w:kern w:val="0"/>
                <w:sz w:val="24"/>
                <w:szCs w:val="24"/>
              </w:rPr>
            </w:pPr>
            <w:r>
              <w:rPr>
                <w:rFonts w:eastAsia="MS Mincho"/>
                <w:b/>
                <w:bCs/>
                <w:lang w:eastAsia="ja-JP"/>
              </w:rPr>
              <w:t>Ateliers</w:t>
            </w:r>
          </w:p>
        </w:tc>
      </w:tr>
      <w:tr w:rsidR="00D5104C">
        <w:tblPrEx>
          <w:tblCellMar>
            <w:top w:w="0" w:type="dxa"/>
            <w:left w:w="0" w:type="dxa"/>
            <w:bottom w:w="0" w:type="dxa"/>
            <w:right w:w="0" w:type="dxa"/>
          </w:tblCellMar>
        </w:tblPrEx>
        <w:trPr>
          <w:trHeight w:val="586"/>
        </w:trPr>
        <w:tc>
          <w:tcPr>
            <w:tcW w:w="1700" w:type="dxa"/>
            <w:tcBorders>
              <w:top w:val="nil"/>
              <w:left w:val="nil"/>
              <w:bottom w:val="nil"/>
              <w:right w:val="nil"/>
            </w:tcBorders>
          </w:tcPr>
          <w:p w:rsidR="00D5104C" w:rsidRDefault="00D5104C">
            <w:pPr>
              <w:spacing w:after="0" w:line="240" w:lineRule="auto"/>
              <w:jc w:val="right"/>
              <w:rPr>
                <w:color w:val="auto"/>
                <w:kern w:val="0"/>
                <w:sz w:val="24"/>
                <w:szCs w:val="24"/>
              </w:rPr>
            </w:pPr>
            <w:r>
              <w:rPr>
                <w:rFonts w:eastAsia="MS Mincho"/>
                <w:b/>
                <w:bCs/>
                <w:lang w:eastAsia="ja-JP"/>
              </w:rPr>
              <w:t>C</w:t>
            </w:r>
          </w:p>
        </w:tc>
        <w:tc>
          <w:tcPr>
            <w:tcW w:w="4780" w:type="dxa"/>
            <w:tcBorders>
              <w:top w:val="nil"/>
              <w:left w:val="nil"/>
              <w:bottom w:val="nil"/>
              <w:right w:val="nil"/>
            </w:tcBorders>
          </w:tcPr>
          <w:p w:rsidR="00D5104C" w:rsidRDefault="00D5104C">
            <w:pPr>
              <w:spacing w:after="0" w:line="240" w:lineRule="auto"/>
              <w:ind w:left="708"/>
              <w:rPr>
                <w:color w:val="auto"/>
                <w:kern w:val="0"/>
                <w:sz w:val="24"/>
                <w:szCs w:val="24"/>
              </w:rPr>
            </w:pPr>
            <w:r>
              <w:rPr>
                <w:rFonts w:eastAsia="MS Mincho"/>
                <w:b/>
                <w:bCs/>
                <w:lang w:eastAsia="ja-JP"/>
              </w:rPr>
              <w:t>Transformation de la forme scolaire: comment l’EDD bouscule l’institution scolaire ?</w:t>
            </w:r>
          </w:p>
        </w:tc>
      </w:tr>
      <w:tr w:rsidR="00D5104C">
        <w:tblPrEx>
          <w:tblCellMar>
            <w:top w:w="0" w:type="dxa"/>
            <w:left w:w="0" w:type="dxa"/>
            <w:bottom w:w="0" w:type="dxa"/>
            <w:right w:w="0" w:type="dxa"/>
          </w:tblCellMar>
        </w:tblPrEx>
        <w:trPr>
          <w:trHeight w:val="732"/>
        </w:trPr>
        <w:tc>
          <w:tcPr>
            <w:tcW w:w="1700" w:type="dxa"/>
            <w:tcBorders>
              <w:top w:val="nil"/>
              <w:left w:val="nil"/>
              <w:bottom w:val="nil"/>
              <w:right w:val="nil"/>
            </w:tcBorders>
          </w:tcPr>
          <w:p w:rsidR="00D5104C" w:rsidRDefault="00D5104C">
            <w:pPr>
              <w:spacing w:after="0" w:line="240" w:lineRule="auto"/>
              <w:jc w:val="right"/>
              <w:rPr>
                <w:color w:val="auto"/>
                <w:kern w:val="0"/>
                <w:sz w:val="24"/>
                <w:szCs w:val="24"/>
              </w:rPr>
            </w:pPr>
            <w:r>
              <w:rPr>
                <w:rFonts w:eastAsia="MS Mincho"/>
                <w:b/>
                <w:bCs/>
                <w:lang w:eastAsia="ja-JP"/>
              </w:rPr>
              <w:t>C</w:t>
            </w:r>
          </w:p>
        </w:tc>
        <w:tc>
          <w:tcPr>
            <w:tcW w:w="4780" w:type="dxa"/>
            <w:tcBorders>
              <w:top w:val="nil"/>
              <w:left w:val="nil"/>
              <w:bottom w:val="nil"/>
              <w:right w:val="nil"/>
            </w:tcBorders>
          </w:tcPr>
          <w:p w:rsidR="00D5104C" w:rsidRDefault="00D5104C">
            <w:pPr>
              <w:spacing w:after="0" w:line="240" w:lineRule="auto"/>
              <w:ind w:left="708"/>
              <w:rPr>
                <w:rFonts w:eastAsia="MS Mincho"/>
                <w:b/>
                <w:bCs/>
                <w:lang w:eastAsia="ja-JP"/>
              </w:rPr>
            </w:pPr>
            <w:r>
              <w:rPr>
                <w:rFonts w:eastAsia="MS Mincho"/>
                <w:b/>
                <w:bCs/>
                <w:lang w:eastAsia="ja-JP"/>
              </w:rPr>
              <w:t>Territoires en projet: nouvelles approches pédagogiques en EDD</w:t>
            </w:r>
          </w:p>
          <w:p w:rsidR="00D5104C" w:rsidRDefault="00D5104C">
            <w:pPr>
              <w:spacing w:after="0" w:line="240" w:lineRule="auto"/>
              <w:ind w:left="708"/>
              <w:rPr>
                <w:color w:val="auto"/>
                <w:kern w:val="0"/>
                <w:sz w:val="24"/>
                <w:szCs w:val="24"/>
              </w:rPr>
            </w:pPr>
          </w:p>
        </w:tc>
      </w:tr>
      <w:tr w:rsidR="00D5104C">
        <w:tblPrEx>
          <w:tblCellMar>
            <w:top w:w="0" w:type="dxa"/>
            <w:left w:w="0" w:type="dxa"/>
            <w:bottom w:w="0" w:type="dxa"/>
            <w:right w:w="0" w:type="dxa"/>
          </w:tblCellMar>
        </w:tblPrEx>
        <w:trPr>
          <w:trHeight w:val="654"/>
        </w:trPr>
        <w:tc>
          <w:tcPr>
            <w:tcW w:w="1700" w:type="dxa"/>
            <w:tcBorders>
              <w:top w:val="nil"/>
              <w:left w:val="nil"/>
              <w:bottom w:val="nil"/>
              <w:right w:val="nil"/>
            </w:tcBorders>
          </w:tcPr>
          <w:p w:rsidR="00D5104C" w:rsidRDefault="00D5104C">
            <w:pPr>
              <w:spacing w:after="0" w:line="240" w:lineRule="auto"/>
              <w:jc w:val="right"/>
              <w:rPr>
                <w:color w:val="auto"/>
                <w:kern w:val="0"/>
                <w:sz w:val="24"/>
                <w:szCs w:val="24"/>
              </w:rPr>
            </w:pPr>
            <w:r>
              <w:rPr>
                <w:rFonts w:eastAsia="MS Mincho"/>
                <w:b/>
                <w:bCs/>
                <w:color w:val="FF0000"/>
                <w:lang w:eastAsia="ja-JP"/>
              </w:rPr>
              <w:t>D 1</w:t>
            </w:r>
          </w:p>
        </w:tc>
        <w:tc>
          <w:tcPr>
            <w:tcW w:w="4780" w:type="dxa"/>
            <w:tcBorders>
              <w:top w:val="nil"/>
              <w:left w:val="nil"/>
              <w:bottom w:val="nil"/>
              <w:right w:val="nil"/>
            </w:tcBorders>
          </w:tcPr>
          <w:p w:rsidR="00D5104C" w:rsidRDefault="00D5104C">
            <w:pPr>
              <w:spacing w:after="0" w:line="240" w:lineRule="auto"/>
              <w:ind w:left="708"/>
              <w:rPr>
                <w:color w:val="auto"/>
                <w:kern w:val="0"/>
                <w:sz w:val="24"/>
                <w:szCs w:val="24"/>
              </w:rPr>
            </w:pPr>
            <w:r>
              <w:rPr>
                <w:rFonts w:eastAsia="MS Mincho"/>
                <w:b/>
                <w:bCs/>
                <w:lang w:eastAsia="ja-JP"/>
              </w:rPr>
              <w:t>Objectifs de développement durable, de nouvelles perspectives pour l’École</w:t>
            </w:r>
          </w:p>
        </w:tc>
      </w:tr>
      <w:tr w:rsidR="00D5104C">
        <w:tblPrEx>
          <w:tblCellMar>
            <w:top w:w="0" w:type="dxa"/>
            <w:left w:w="0" w:type="dxa"/>
            <w:bottom w:w="0" w:type="dxa"/>
            <w:right w:w="0" w:type="dxa"/>
          </w:tblCellMar>
        </w:tblPrEx>
        <w:trPr>
          <w:trHeight w:val="607"/>
        </w:trPr>
        <w:tc>
          <w:tcPr>
            <w:tcW w:w="1700" w:type="dxa"/>
            <w:tcBorders>
              <w:top w:val="nil"/>
              <w:left w:val="nil"/>
              <w:bottom w:val="nil"/>
              <w:right w:val="nil"/>
            </w:tcBorders>
          </w:tcPr>
          <w:p w:rsidR="00D5104C" w:rsidRDefault="00D5104C">
            <w:pPr>
              <w:spacing w:after="0" w:line="240" w:lineRule="auto"/>
              <w:jc w:val="right"/>
              <w:rPr>
                <w:color w:val="auto"/>
                <w:kern w:val="0"/>
                <w:sz w:val="24"/>
                <w:szCs w:val="24"/>
              </w:rPr>
            </w:pPr>
            <w:r>
              <w:rPr>
                <w:rFonts w:eastAsia="MS Mincho"/>
                <w:b/>
                <w:bCs/>
                <w:lang w:eastAsia="ja-JP"/>
              </w:rPr>
              <w:t>E</w:t>
            </w:r>
          </w:p>
        </w:tc>
        <w:tc>
          <w:tcPr>
            <w:tcW w:w="4780" w:type="dxa"/>
            <w:tcBorders>
              <w:top w:val="nil"/>
              <w:left w:val="nil"/>
              <w:bottom w:val="nil"/>
              <w:right w:val="nil"/>
            </w:tcBorders>
          </w:tcPr>
          <w:p w:rsidR="00D5104C" w:rsidRDefault="00D5104C">
            <w:pPr>
              <w:spacing w:after="0" w:line="240" w:lineRule="auto"/>
              <w:ind w:left="708"/>
              <w:rPr>
                <w:rFonts w:eastAsia="MS Mincho"/>
                <w:b/>
                <w:bCs/>
                <w:lang w:eastAsia="ja-JP"/>
              </w:rPr>
            </w:pPr>
            <w:r>
              <w:rPr>
                <w:rFonts w:eastAsia="MS Mincho"/>
                <w:b/>
                <w:bCs/>
                <w:lang w:eastAsia="ja-JP"/>
              </w:rPr>
              <w:t>Être référent EDD de son établissement</w:t>
            </w:r>
          </w:p>
          <w:p w:rsidR="00D5104C" w:rsidRDefault="00D5104C">
            <w:pPr>
              <w:spacing w:after="0" w:line="240" w:lineRule="auto"/>
              <w:ind w:left="708"/>
              <w:rPr>
                <w:color w:val="auto"/>
                <w:kern w:val="0"/>
                <w:sz w:val="24"/>
                <w:szCs w:val="24"/>
              </w:rPr>
            </w:pPr>
          </w:p>
        </w:tc>
      </w:tr>
      <w:tr w:rsidR="00D5104C">
        <w:tblPrEx>
          <w:tblCellMar>
            <w:top w:w="0" w:type="dxa"/>
            <w:left w:w="0" w:type="dxa"/>
            <w:bottom w:w="0" w:type="dxa"/>
            <w:right w:w="0" w:type="dxa"/>
          </w:tblCellMar>
        </w:tblPrEx>
        <w:trPr>
          <w:trHeight w:val="607"/>
        </w:trPr>
        <w:tc>
          <w:tcPr>
            <w:tcW w:w="1700" w:type="dxa"/>
            <w:tcBorders>
              <w:top w:val="nil"/>
              <w:left w:val="nil"/>
              <w:bottom w:val="nil"/>
              <w:right w:val="nil"/>
            </w:tcBorders>
          </w:tcPr>
          <w:p w:rsidR="00D5104C" w:rsidRDefault="00D5104C">
            <w:pPr>
              <w:spacing w:after="0" w:line="240" w:lineRule="auto"/>
              <w:jc w:val="right"/>
              <w:rPr>
                <w:color w:val="auto"/>
                <w:kern w:val="0"/>
                <w:sz w:val="24"/>
                <w:szCs w:val="24"/>
              </w:rPr>
            </w:pPr>
            <w:r>
              <w:rPr>
                <w:rFonts w:eastAsia="MS Mincho"/>
                <w:lang w:eastAsia="ja-JP"/>
              </w:rPr>
              <w:t>E 109</w:t>
            </w:r>
          </w:p>
        </w:tc>
        <w:tc>
          <w:tcPr>
            <w:tcW w:w="4780" w:type="dxa"/>
            <w:tcBorders>
              <w:top w:val="nil"/>
              <w:left w:val="nil"/>
              <w:bottom w:val="nil"/>
              <w:right w:val="nil"/>
            </w:tcBorders>
          </w:tcPr>
          <w:p w:rsidR="00D5104C" w:rsidRDefault="00D5104C">
            <w:pPr>
              <w:spacing w:after="0" w:line="240" w:lineRule="auto"/>
              <w:ind w:left="708"/>
              <w:rPr>
                <w:color w:val="auto"/>
                <w:kern w:val="0"/>
                <w:sz w:val="24"/>
                <w:szCs w:val="24"/>
              </w:rPr>
            </w:pPr>
            <w:r>
              <w:rPr>
                <w:rFonts w:eastAsia="MS Mincho"/>
                <w:lang w:eastAsia="ja-JP"/>
              </w:rPr>
              <w:t xml:space="preserve">Comment évaluer les compétences en EDD : débat et QSV? </w:t>
            </w:r>
          </w:p>
        </w:tc>
      </w:tr>
      <w:tr w:rsidR="00D5104C">
        <w:tblPrEx>
          <w:tblCellMar>
            <w:top w:w="0" w:type="dxa"/>
            <w:left w:w="0" w:type="dxa"/>
            <w:bottom w:w="0" w:type="dxa"/>
            <w:right w:w="0" w:type="dxa"/>
          </w:tblCellMar>
        </w:tblPrEx>
        <w:trPr>
          <w:trHeight w:val="607"/>
        </w:trPr>
        <w:tc>
          <w:tcPr>
            <w:tcW w:w="1700" w:type="dxa"/>
            <w:tcBorders>
              <w:top w:val="nil"/>
              <w:left w:val="nil"/>
              <w:bottom w:val="nil"/>
              <w:right w:val="nil"/>
            </w:tcBorders>
          </w:tcPr>
          <w:p w:rsidR="00D5104C" w:rsidRDefault="00D5104C">
            <w:pPr>
              <w:spacing w:after="0" w:line="240" w:lineRule="auto"/>
              <w:rPr>
                <w:color w:val="auto"/>
                <w:kern w:val="0"/>
                <w:sz w:val="24"/>
                <w:szCs w:val="24"/>
              </w:rPr>
            </w:pPr>
            <w:r>
              <w:rPr>
                <w:rFonts w:eastAsia="MS Mincho"/>
                <w:b/>
                <w:bCs/>
                <w:lang w:eastAsia="ja-JP"/>
              </w:rPr>
              <w:t>11– 13</w:t>
            </w:r>
          </w:p>
        </w:tc>
        <w:tc>
          <w:tcPr>
            <w:tcW w:w="4780" w:type="dxa"/>
            <w:tcBorders>
              <w:top w:val="nil"/>
              <w:left w:val="nil"/>
              <w:bottom w:val="nil"/>
              <w:right w:val="nil"/>
            </w:tcBorders>
          </w:tcPr>
          <w:p w:rsidR="00D5104C" w:rsidRDefault="00D5104C">
            <w:pPr>
              <w:spacing w:after="0" w:line="240" w:lineRule="auto"/>
              <w:rPr>
                <w:rFonts w:eastAsia="MS Mincho"/>
                <w:b/>
                <w:bCs/>
                <w:lang w:eastAsia="ja-JP"/>
              </w:rPr>
            </w:pPr>
            <w:r>
              <w:rPr>
                <w:rFonts w:eastAsia="MS Mincho"/>
                <w:b/>
                <w:bCs/>
                <w:lang w:eastAsia="ja-JP"/>
              </w:rPr>
              <w:t>Repas</w:t>
            </w:r>
          </w:p>
          <w:p w:rsidR="00D5104C" w:rsidRDefault="00D5104C">
            <w:pPr>
              <w:spacing w:after="0" w:line="240" w:lineRule="auto"/>
              <w:rPr>
                <w:color w:val="auto"/>
                <w:kern w:val="0"/>
                <w:sz w:val="24"/>
                <w:szCs w:val="24"/>
              </w:rPr>
            </w:pPr>
          </w:p>
        </w:tc>
      </w:tr>
      <w:tr w:rsidR="00D5104C">
        <w:tblPrEx>
          <w:tblCellMar>
            <w:top w:w="0" w:type="dxa"/>
            <w:left w:w="0" w:type="dxa"/>
            <w:bottom w:w="0" w:type="dxa"/>
            <w:right w:w="0" w:type="dxa"/>
          </w:tblCellMar>
        </w:tblPrEx>
        <w:trPr>
          <w:trHeight w:val="976"/>
        </w:trPr>
        <w:tc>
          <w:tcPr>
            <w:tcW w:w="1700" w:type="dxa"/>
            <w:tcBorders>
              <w:top w:val="nil"/>
              <w:left w:val="nil"/>
              <w:bottom w:val="nil"/>
              <w:right w:val="nil"/>
            </w:tcBorders>
          </w:tcPr>
          <w:p w:rsidR="00D5104C" w:rsidRDefault="00D5104C">
            <w:pPr>
              <w:spacing w:after="0" w:line="240" w:lineRule="auto"/>
              <w:rPr>
                <w:rFonts w:eastAsia="MS Mincho"/>
                <w:color w:val="595959"/>
                <w:sz w:val="30"/>
                <w:szCs w:val="30"/>
                <w:lang w:eastAsia="ja-JP"/>
              </w:rPr>
            </w:pPr>
            <w:r>
              <w:rPr>
                <w:rFonts w:eastAsia="MS Mincho"/>
                <w:b/>
                <w:bCs/>
                <w:lang w:eastAsia="ja-JP"/>
              </w:rPr>
              <w:t>13– 14</w:t>
            </w:r>
          </w:p>
          <w:p w:rsidR="00D5104C" w:rsidRDefault="00D5104C">
            <w:pPr>
              <w:spacing w:after="0" w:line="240" w:lineRule="auto"/>
              <w:jc w:val="right"/>
              <w:rPr>
                <w:color w:val="auto"/>
                <w:kern w:val="0"/>
                <w:sz w:val="24"/>
                <w:szCs w:val="24"/>
              </w:rPr>
            </w:pPr>
            <w:r>
              <w:rPr>
                <w:rFonts w:eastAsia="MS Mincho"/>
                <w:b/>
                <w:bCs/>
                <w:lang w:eastAsia="ja-JP"/>
              </w:rPr>
              <w:t>Amphi D</w:t>
            </w:r>
          </w:p>
        </w:tc>
        <w:tc>
          <w:tcPr>
            <w:tcW w:w="4780" w:type="dxa"/>
            <w:tcBorders>
              <w:top w:val="nil"/>
              <w:left w:val="nil"/>
              <w:bottom w:val="nil"/>
              <w:right w:val="nil"/>
            </w:tcBorders>
          </w:tcPr>
          <w:p w:rsidR="00D5104C" w:rsidRDefault="00D5104C">
            <w:pPr>
              <w:spacing w:after="0" w:line="240" w:lineRule="auto"/>
              <w:rPr>
                <w:rFonts w:eastAsia="MS Mincho"/>
                <w:b/>
                <w:bCs/>
                <w:color w:val="595959"/>
                <w:sz w:val="30"/>
                <w:szCs w:val="30"/>
                <w:lang w:eastAsia="ja-JP"/>
              </w:rPr>
            </w:pPr>
            <w:r>
              <w:rPr>
                <w:rFonts w:eastAsia="MS Mincho"/>
                <w:b/>
                <w:bCs/>
                <w:lang w:eastAsia="ja-JP"/>
              </w:rPr>
              <w:t>Objectifs, ressources et outils de la communication de la mission EDD</w:t>
            </w:r>
          </w:p>
          <w:p w:rsidR="00D5104C" w:rsidRDefault="00D5104C">
            <w:pPr>
              <w:spacing w:after="0" w:line="240" w:lineRule="auto"/>
              <w:ind w:left="708"/>
              <w:rPr>
                <w:rFonts w:eastAsia="MS Mincho"/>
                <w:b/>
                <w:bCs/>
                <w:lang w:eastAsia="ja-JP"/>
              </w:rPr>
            </w:pPr>
            <w:r>
              <w:rPr>
                <w:rFonts w:eastAsia="MS Mincho"/>
                <w:b/>
                <w:bCs/>
                <w:lang w:eastAsia="ja-JP"/>
              </w:rPr>
              <w:t>Groupe académique EDD</w:t>
            </w:r>
          </w:p>
          <w:p w:rsidR="00D5104C" w:rsidRDefault="00D5104C">
            <w:pPr>
              <w:spacing w:after="0" w:line="240" w:lineRule="auto"/>
              <w:ind w:left="708"/>
              <w:rPr>
                <w:color w:val="auto"/>
                <w:kern w:val="0"/>
                <w:sz w:val="24"/>
                <w:szCs w:val="24"/>
              </w:rPr>
            </w:pPr>
          </w:p>
        </w:tc>
      </w:tr>
      <w:tr w:rsidR="00D5104C">
        <w:tblPrEx>
          <w:tblCellMar>
            <w:top w:w="0" w:type="dxa"/>
            <w:left w:w="0" w:type="dxa"/>
            <w:bottom w:w="0" w:type="dxa"/>
            <w:right w:w="0" w:type="dxa"/>
          </w:tblCellMar>
        </w:tblPrEx>
        <w:trPr>
          <w:trHeight w:val="737"/>
        </w:trPr>
        <w:tc>
          <w:tcPr>
            <w:tcW w:w="1700" w:type="dxa"/>
            <w:tcBorders>
              <w:top w:val="nil"/>
              <w:left w:val="nil"/>
              <w:bottom w:val="nil"/>
              <w:right w:val="nil"/>
            </w:tcBorders>
          </w:tcPr>
          <w:p w:rsidR="00D5104C" w:rsidRDefault="00D5104C">
            <w:pPr>
              <w:spacing w:after="0" w:line="240" w:lineRule="auto"/>
              <w:rPr>
                <w:rFonts w:eastAsia="MS Mincho"/>
                <w:color w:val="595959"/>
                <w:sz w:val="30"/>
                <w:szCs w:val="30"/>
                <w:lang w:eastAsia="ja-JP"/>
              </w:rPr>
            </w:pPr>
            <w:r>
              <w:rPr>
                <w:rFonts w:eastAsia="MS Mincho"/>
                <w:b/>
                <w:bCs/>
                <w:lang w:eastAsia="ja-JP"/>
              </w:rPr>
              <w:t>14– 15</w:t>
            </w:r>
          </w:p>
          <w:p w:rsidR="00D5104C" w:rsidRDefault="00D5104C">
            <w:pPr>
              <w:spacing w:after="0" w:line="240" w:lineRule="auto"/>
              <w:jc w:val="right"/>
              <w:rPr>
                <w:color w:val="auto"/>
                <w:kern w:val="0"/>
                <w:sz w:val="24"/>
                <w:szCs w:val="24"/>
              </w:rPr>
            </w:pPr>
            <w:r>
              <w:rPr>
                <w:rFonts w:eastAsia="MS Mincho"/>
                <w:b/>
                <w:bCs/>
                <w:lang w:eastAsia="ja-JP"/>
              </w:rPr>
              <w:t>Amphi D</w:t>
            </w:r>
          </w:p>
        </w:tc>
        <w:tc>
          <w:tcPr>
            <w:tcW w:w="4780" w:type="dxa"/>
            <w:tcBorders>
              <w:top w:val="nil"/>
              <w:left w:val="nil"/>
              <w:bottom w:val="nil"/>
              <w:right w:val="nil"/>
            </w:tcBorders>
          </w:tcPr>
          <w:p w:rsidR="00D5104C" w:rsidRDefault="00D5104C">
            <w:pPr>
              <w:spacing w:after="0" w:line="240" w:lineRule="auto"/>
              <w:rPr>
                <w:rFonts w:eastAsia="MS Mincho"/>
                <w:b/>
                <w:bCs/>
                <w:lang w:eastAsia="ja-JP"/>
              </w:rPr>
            </w:pPr>
            <w:r>
              <w:rPr>
                <w:rFonts w:eastAsia="MS Mincho"/>
                <w:b/>
                <w:bCs/>
                <w:lang w:eastAsia="ja-JP"/>
              </w:rPr>
              <w:t>Restitution des ateliers</w:t>
            </w:r>
          </w:p>
          <w:p w:rsidR="00D5104C" w:rsidRDefault="00D5104C">
            <w:pPr>
              <w:spacing w:after="0" w:line="240" w:lineRule="auto"/>
              <w:rPr>
                <w:rFonts w:eastAsia="MS Mincho"/>
                <w:b/>
                <w:bCs/>
                <w:lang w:eastAsia="ja-JP"/>
              </w:rPr>
            </w:pPr>
          </w:p>
          <w:p w:rsidR="00D5104C" w:rsidRDefault="00D5104C">
            <w:pPr>
              <w:spacing w:after="0" w:line="240" w:lineRule="auto"/>
              <w:rPr>
                <w:color w:val="auto"/>
                <w:kern w:val="0"/>
                <w:sz w:val="24"/>
                <w:szCs w:val="24"/>
              </w:rPr>
            </w:pPr>
          </w:p>
        </w:tc>
      </w:tr>
      <w:tr w:rsidR="00D5104C">
        <w:tblPrEx>
          <w:tblCellMar>
            <w:top w:w="0" w:type="dxa"/>
            <w:left w:w="0" w:type="dxa"/>
            <w:bottom w:w="0" w:type="dxa"/>
            <w:right w:w="0" w:type="dxa"/>
          </w:tblCellMar>
        </w:tblPrEx>
        <w:trPr>
          <w:trHeight w:val="1026"/>
        </w:trPr>
        <w:tc>
          <w:tcPr>
            <w:tcW w:w="1700" w:type="dxa"/>
            <w:tcBorders>
              <w:top w:val="nil"/>
              <w:left w:val="nil"/>
              <w:bottom w:val="nil"/>
              <w:right w:val="nil"/>
            </w:tcBorders>
          </w:tcPr>
          <w:p w:rsidR="00D5104C" w:rsidRDefault="00D5104C">
            <w:pPr>
              <w:spacing w:after="0" w:line="240" w:lineRule="auto"/>
              <w:rPr>
                <w:rFonts w:eastAsia="MS Mincho"/>
                <w:color w:val="595959"/>
                <w:sz w:val="30"/>
                <w:szCs w:val="30"/>
                <w:lang w:eastAsia="ja-JP"/>
              </w:rPr>
            </w:pPr>
            <w:r>
              <w:rPr>
                <w:rFonts w:eastAsia="MS Mincho"/>
                <w:b/>
                <w:bCs/>
                <w:lang w:eastAsia="ja-JP"/>
              </w:rPr>
              <w:t>15– 16</w:t>
            </w:r>
          </w:p>
          <w:p w:rsidR="00D5104C" w:rsidRDefault="00D5104C">
            <w:pPr>
              <w:spacing w:after="0" w:line="240" w:lineRule="auto"/>
              <w:jc w:val="right"/>
              <w:rPr>
                <w:color w:val="auto"/>
                <w:kern w:val="0"/>
                <w:sz w:val="24"/>
                <w:szCs w:val="24"/>
              </w:rPr>
            </w:pPr>
            <w:r>
              <w:rPr>
                <w:rFonts w:eastAsia="MS Mincho"/>
                <w:b/>
                <w:bCs/>
                <w:lang w:eastAsia="ja-JP"/>
              </w:rPr>
              <w:t>Amphi D</w:t>
            </w:r>
          </w:p>
        </w:tc>
        <w:tc>
          <w:tcPr>
            <w:tcW w:w="4780" w:type="dxa"/>
            <w:tcBorders>
              <w:top w:val="nil"/>
              <w:left w:val="nil"/>
              <w:bottom w:val="nil"/>
              <w:right w:val="nil"/>
            </w:tcBorders>
          </w:tcPr>
          <w:p w:rsidR="00D5104C" w:rsidRDefault="00D5104C">
            <w:pPr>
              <w:spacing w:after="0" w:line="240" w:lineRule="auto"/>
              <w:rPr>
                <w:rFonts w:eastAsia="MS Mincho"/>
                <w:b/>
                <w:bCs/>
                <w:color w:val="595959"/>
                <w:sz w:val="30"/>
                <w:szCs w:val="30"/>
                <w:lang w:eastAsia="ja-JP"/>
              </w:rPr>
            </w:pPr>
            <w:r>
              <w:rPr>
                <w:rFonts w:eastAsia="MS Mincho"/>
                <w:b/>
                <w:bCs/>
                <w:lang w:eastAsia="ja-JP"/>
              </w:rPr>
              <w:t>Clôture: Enjeux et perspectives de l’EDD</w:t>
            </w:r>
          </w:p>
          <w:p w:rsidR="00D5104C" w:rsidRDefault="00D5104C" w:rsidP="00D5104C">
            <w:pPr>
              <w:numPr>
                <w:ilvl w:val="0"/>
                <w:numId w:val="1"/>
              </w:numPr>
              <w:spacing w:after="0" w:line="240" w:lineRule="auto"/>
              <w:ind w:left="566" w:hanging="566"/>
              <w:rPr>
                <w:color w:val="auto"/>
                <w:kern w:val="0"/>
                <w:sz w:val="24"/>
                <w:szCs w:val="24"/>
              </w:rPr>
            </w:pPr>
            <w:r>
              <w:rPr>
                <w:rFonts w:eastAsia="MS Mincho"/>
                <w:b/>
                <w:bCs/>
                <w:lang w:eastAsia="ja-JP"/>
              </w:rPr>
              <w:t>Alain Legardez, professeur émérite à l’ESPE d’Aix-Marseille</w:t>
            </w:r>
          </w:p>
        </w:tc>
      </w:tr>
    </w:tbl>
    <w:p w:rsidR="00D5104C" w:rsidRDefault="00D5104C">
      <w:pPr>
        <w:spacing w:after="0"/>
        <w:jc w:val="center"/>
        <w:rPr>
          <w:rFonts w:eastAsia="MS Mincho"/>
          <w:b/>
          <w:bCs/>
          <w:lang w:eastAsia="ja-JP"/>
        </w:rPr>
      </w:pPr>
      <w:r>
        <w:rPr>
          <w:rFonts w:eastAsia="MS Mincho"/>
          <w:b/>
          <w:bCs/>
          <w:lang w:eastAsia="ja-JP"/>
        </w:rPr>
        <w:t>E.SPE.</w:t>
      </w:r>
    </w:p>
    <w:p w:rsidR="00D5104C" w:rsidRDefault="00D5104C">
      <w:pPr>
        <w:spacing w:after="0"/>
        <w:jc w:val="center"/>
        <w:rPr>
          <w:color w:val="auto"/>
          <w:kern w:val="0"/>
          <w:sz w:val="24"/>
          <w:szCs w:val="24"/>
        </w:rPr>
      </w:pPr>
      <w:r>
        <w:rPr>
          <w:rFonts w:eastAsia="MS Mincho"/>
          <w:lang w:eastAsia="ja-JP"/>
        </w:rPr>
        <w:t>2 Avenue Jules Isaac</w:t>
      </w:r>
      <w:r>
        <w:rPr>
          <w:rFonts w:eastAsia="MS Mincho"/>
          <w:lang w:eastAsia="ja-JP"/>
        </w:rPr>
        <w:br/>
        <w:t>13626 Aix en Provence Cedex 01</w:t>
      </w:r>
    </w:p>
    <w:p w:rsidR="00D5104C" w:rsidRDefault="00D5104C">
      <w:pPr>
        <w:overflowPunct/>
        <w:spacing w:after="0" w:line="240" w:lineRule="auto"/>
        <w:rPr>
          <w:color w:val="auto"/>
          <w:kern w:val="0"/>
          <w:sz w:val="24"/>
          <w:szCs w:val="24"/>
        </w:rPr>
        <w:sectPr w:rsidR="00D5104C">
          <w:type w:val="continuous"/>
          <w:pgSz w:w="12240" w:h="15840"/>
          <w:pgMar w:top="1417" w:right="1417" w:bottom="1417" w:left="1417" w:header="720" w:footer="720" w:gutter="0"/>
          <w:cols w:space="720"/>
          <w:noEndnote/>
        </w:sectPr>
      </w:pPr>
    </w:p>
    <w:p w:rsidR="00D5104C" w:rsidRDefault="00D5104C">
      <w:pPr>
        <w:rPr>
          <w:color w:val="auto"/>
          <w:kern w:val="0"/>
          <w:sz w:val="24"/>
          <w:szCs w:val="24"/>
        </w:rPr>
      </w:pPr>
      <w:r>
        <w:rPr>
          <w:rFonts w:eastAsia="MS Mincho"/>
          <w:lang w:eastAsia="ja-JP"/>
        </w:rPr>
        <w:t>géolocalisation</w:t>
      </w:r>
    </w:p>
    <w:p w:rsidR="00D5104C" w:rsidRDefault="00D5104C">
      <w:pPr>
        <w:overflowPunct/>
        <w:spacing w:after="0" w:line="240" w:lineRule="auto"/>
        <w:rPr>
          <w:color w:val="auto"/>
          <w:kern w:val="0"/>
          <w:sz w:val="24"/>
          <w:szCs w:val="24"/>
        </w:rPr>
        <w:sectPr w:rsidR="00D5104C">
          <w:type w:val="continuous"/>
          <w:pgSz w:w="12240" w:h="15840"/>
          <w:pgMar w:top="1417" w:right="1417" w:bottom="1417" w:left="1417" w:header="720" w:footer="720" w:gutter="0"/>
          <w:cols w:space="720"/>
          <w:noEndnote/>
        </w:sectPr>
      </w:pPr>
    </w:p>
    <w:p w:rsidR="00D5104C" w:rsidRDefault="00D5104C">
      <w:pPr>
        <w:jc w:val="center"/>
        <w:rPr>
          <w:color w:val="auto"/>
          <w:kern w:val="0"/>
          <w:sz w:val="24"/>
          <w:szCs w:val="24"/>
        </w:rPr>
      </w:pPr>
      <w:r>
        <w:rPr>
          <w:rFonts w:eastAsia="MS Mincho"/>
          <w:b/>
          <w:bCs/>
          <w:color w:val="FFFFFF"/>
          <w:sz w:val="28"/>
          <w:szCs w:val="28"/>
          <w:lang w:eastAsia="ja-JP"/>
        </w:rPr>
        <w:t xml:space="preserve">      </w:t>
      </w:r>
    </w:p>
    <w:p w:rsidR="00D5104C" w:rsidRDefault="00D5104C">
      <w:pPr>
        <w:overflowPunct/>
        <w:spacing w:after="0" w:line="240" w:lineRule="auto"/>
        <w:rPr>
          <w:color w:val="auto"/>
          <w:kern w:val="0"/>
          <w:sz w:val="24"/>
          <w:szCs w:val="24"/>
        </w:rPr>
        <w:sectPr w:rsidR="00D5104C">
          <w:type w:val="continuous"/>
          <w:pgSz w:w="12240" w:h="15840"/>
          <w:pgMar w:top="1417" w:right="1417" w:bottom="1417" w:left="1417" w:header="720" w:footer="720" w:gutter="0"/>
          <w:cols w:space="720"/>
          <w:noEndnote/>
        </w:sectPr>
      </w:pPr>
    </w:p>
    <w:p w:rsidR="00D5104C" w:rsidRDefault="00D5104C">
      <w:pPr>
        <w:jc w:val="center"/>
        <w:rPr>
          <w:color w:val="auto"/>
          <w:kern w:val="0"/>
          <w:sz w:val="24"/>
          <w:szCs w:val="24"/>
        </w:rPr>
      </w:pPr>
      <w:r>
        <w:rPr>
          <w:rFonts w:eastAsia="MS Mincho"/>
          <w:b/>
          <w:bCs/>
          <w:color w:val="FFFFFF"/>
          <w:sz w:val="28"/>
          <w:szCs w:val="28"/>
          <w:lang w:eastAsia="ja-JP"/>
        </w:rPr>
        <w:t xml:space="preserve">      </w:t>
      </w:r>
    </w:p>
    <w:p w:rsidR="00D5104C" w:rsidRDefault="00D5104C">
      <w:pPr>
        <w:overflowPunct/>
        <w:spacing w:after="0" w:line="240" w:lineRule="auto"/>
        <w:rPr>
          <w:color w:val="auto"/>
          <w:kern w:val="0"/>
          <w:sz w:val="24"/>
          <w:szCs w:val="24"/>
        </w:rPr>
        <w:sectPr w:rsidR="00D5104C">
          <w:type w:val="continuous"/>
          <w:pgSz w:w="12240" w:h="15840"/>
          <w:pgMar w:top="1417" w:right="1417" w:bottom="1417" w:left="1417" w:header="720" w:footer="720" w:gutter="0"/>
          <w:cols w:space="720"/>
          <w:noEndnote/>
        </w:sectPr>
      </w:pPr>
    </w:p>
    <w:p w:rsidR="00D5104C" w:rsidRDefault="00D5104C">
      <w:pPr>
        <w:jc w:val="center"/>
        <w:rPr>
          <w:color w:val="auto"/>
          <w:kern w:val="0"/>
          <w:sz w:val="24"/>
          <w:szCs w:val="24"/>
        </w:rPr>
      </w:pPr>
      <w:r>
        <w:rPr>
          <w:rFonts w:eastAsia="MS Mincho"/>
          <w:b/>
          <w:bCs/>
          <w:color w:val="FFFFFF"/>
          <w:sz w:val="28"/>
          <w:szCs w:val="28"/>
          <w:lang w:eastAsia="ja-JP"/>
        </w:rPr>
        <w:t xml:space="preserve">      </w:t>
      </w:r>
    </w:p>
    <w:p w:rsidR="00D5104C" w:rsidRDefault="00D5104C">
      <w:pPr>
        <w:overflowPunct/>
        <w:spacing w:after="0" w:line="240" w:lineRule="auto"/>
        <w:rPr>
          <w:color w:val="auto"/>
          <w:kern w:val="0"/>
          <w:sz w:val="24"/>
          <w:szCs w:val="24"/>
        </w:rPr>
        <w:sectPr w:rsidR="00D5104C">
          <w:type w:val="continuous"/>
          <w:pgSz w:w="12240" w:h="15840"/>
          <w:pgMar w:top="1417" w:right="1417" w:bottom="1417" w:left="1417" w:header="720" w:footer="720" w:gutter="0"/>
          <w:cols w:space="720"/>
          <w:noEndnote/>
        </w:sectPr>
      </w:pPr>
    </w:p>
    <w:p w:rsidR="00000000" w:rsidRDefault="00D5104C" w:rsidP="00D5104C">
      <w:pPr>
        <w:jc w:val="center"/>
      </w:pPr>
      <w:r>
        <w:rPr>
          <w:rFonts w:eastAsia="MS Mincho"/>
          <w:b/>
          <w:bCs/>
          <w:color w:val="FFFFFF"/>
          <w:sz w:val="28"/>
          <w:szCs w:val="28"/>
          <w:lang w:eastAsia="ja-JP"/>
        </w:rPr>
        <w:t xml:space="preserve">      </w:t>
      </w:r>
    </w:p>
    <w:sectPr w:rsidR="00000000" w:rsidSect="00D5104C">
      <w:type w:val="continuous"/>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104C"/>
    <w:rsid w:val="00D51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97365E4-E3E8-4D3A-9F60-04ECAB71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3608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2017-10-20T16:47:00Z</dcterms:created>
</cp:coreProperties>
</file>