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4A" w:rsidRDefault="005362B5">
      <w:pPr>
        <w:jc w:val="center"/>
      </w:pPr>
      <w:r>
        <w:rPr>
          <w:rFonts w:ascii="Traditional Arabic" w:eastAsia="Traditional Arabic" w:hAnsi="Traditional Arabic" w:cs="Traditional Arabic"/>
          <w:b/>
          <w:sz w:val="30"/>
          <w:szCs w:val="30"/>
        </w:rPr>
        <w:t>De la difficulté à comprendre la multiplication des nombres relatifs</w:t>
      </w:r>
    </w:p>
    <w:tbl>
      <w:tblPr>
        <w:tblStyle w:val="a"/>
        <w:tblW w:w="10490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4130"/>
        <w:gridCol w:w="6360"/>
      </w:tblGrid>
      <w:tr w:rsidR="00857D4A">
        <w:tc>
          <w:tcPr>
            <w:tcW w:w="4130" w:type="dxa"/>
            <w:shd w:val="clear" w:color="auto" w:fill="auto"/>
          </w:tcPr>
          <w:p w:rsidR="00857D4A" w:rsidRDefault="00857D4A">
            <w:pPr>
              <w:rPr>
                <w:b/>
                <w:i/>
              </w:rPr>
            </w:pPr>
          </w:p>
          <w:p w:rsidR="00857D4A" w:rsidRDefault="005362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Stendhal, dans son roman </w:t>
            </w:r>
          </w:p>
          <w:p w:rsidR="00857D4A" w:rsidRDefault="005362B5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autobiographique</w:t>
            </w:r>
            <w:proofErr w:type="gramEnd"/>
            <w:r>
              <w:rPr>
                <w:b/>
                <w:i/>
              </w:rPr>
              <w:t>,</w:t>
            </w:r>
          </w:p>
          <w:p w:rsidR="00857D4A" w:rsidRDefault="005362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"La vie d'Henri </w:t>
            </w:r>
            <w:proofErr w:type="spellStart"/>
            <w:r>
              <w:rPr>
                <w:b/>
                <w:i/>
              </w:rPr>
              <w:t>Brulard</w:t>
            </w:r>
            <w:proofErr w:type="spellEnd"/>
            <w:r>
              <w:rPr>
                <w:b/>
                <w:i/>
              </w:rPr>
              <w:t>", en 1835</w:t>
            </w:r>
          </w:p>
          <w:p w:rsidR="00857D4A" w:rsidRDefault="00857D4A">
            <w:pPr>
              <w:rPr>
                <w:b/>
                <w:i/>
              </w:rPr>
            </w:pPr>
          </w:p>
          <w:p w:rsidR="00857D4A" w:rsidRDefault="005362B5">
            <w:pPr>
              <w:rPr>
                <w:b/>
                <w:i/>
              </w:rPr>
            </w:pPr>
            <w:r>
              <w:rPr>
                <w:b/>
                <w:i/>
              </w:rPr>
              <w:t>« Mon grand malheur était cette figure :</w:t>
            </w:r>
          </w:p>
        </w:tc>
        <w:tc>
          <w:tcPr>
            <w:tcW w:w="6360" w:type="dxa"/>
            <w:shd w:val="clear" w:color="auto" w:fill="auto"/>
          </w:tcPr>
          <w:p w:rsidR="00857D4A" w:rsidRDefault="0053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3662680" cy="1163320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680" cy="1163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7D4A" w:rsidRDefault="005362B5">
      <w:pPr>
        <w:ind w:left="105"/>
        <w:jc w:val="both"/>
      </w:pPr>
      <w:r>
        <w:rPr>
          <w:b/>
          <w:i/>
        </w:rPr>
        <w:t>Supposons que RP soit la ligne qui sépare le positif du négatif, tout ce qui est au-dessus est positif, comme négatif tout ce qui est au-dessous ; comment, en prenant le carré B autant de fois qu'il y a d'unités dans le carré A, puis-je parvenir à faire ch</w:t>
      </w:r>
      <w:r>
        <w:rPr>
          <w:b/>
          <w:i/>
        </w:rPr>
        <w:t>anger de coté au carré C ?</w:t>
      </w:r>
      <w:r>
        <w:t xml:space="preserve"> </w:t>
      </w:r>
      <w:r>
        <w:rPr>
          <w:b/>
          <w:i/>
        </w:rPr>
        <w:t>»</w:t>
      </w:r>
    </w:p>
    <w:p w:rsidR="00857D4A" w:rsidRDefault="00857D4A">
      <w:pPr>
        <w:ind w:left="105"/>
        <w:rPr>
          <w:b/>
        </w:rPr>
      </w:pPr>
    </w:p>
    <w:p w:rsidR="00857D4A" w:rsidRDefault="005362B5">
      <w:pPr>
        <w:rPr>
          <w:b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19825" cy="186880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86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D4A" w:rsidRDefault="005362B5">
      <w:pPr>
        <w:jc w:val="both"/>
      </w:pPr>
      <w:r>
        <w:rPr>
          <w:b/>
          <w:u w:val="single"/>
        </w:rPr>
        <w:t xml:space="preserve">Cadre </w:t>
      </w:r>
      <w:proofErr w:type="gramStart"/>
      <w:r>
        <w:rPr>
          <w:b/>
          <w:u w:val="single"/>
        </w:rPr>
        <w:t>d'utilisation</w:t>
      </w:r>
      <w:r>
        <w:rPr>
          <w:b/>
        </w:rPr>
        <w:t>:</w:t>
      </w:r>
      <w:proofErr w:type="gramEnd"/>
    </w:p>
    <w:p w:rsidR="00857D4A" w:rsidRDefault="005362B5">
      <w:pPr>
        <w:jc w:val="both"/>
      </w:pPr>
      <w:r>
        <w:t>Introduire la multiplication de deux nombres négatifs. Expliquer aux élèves que leurs difficultés éventuelles ont été vécues par de grands mathématiciens et intellectuels.</w:t>
      </w:r>
    </w:p>
    <w:p w:rsidR="00857D4A" w:rsidRDefault="00857D4A">
      <w:pPr>
        <w:rPr>
          <w:b/>
        </w:rPr>
      </w:pPr>
    </w:p>
    <w:p w:rsidR="00857D4A" w:rsidRDefault="005362B5">
      <w:r>
        <w:rPr>
          <w:b/>
          <w:u w:val="single"/>
        </w:rPr>
        <w:t>Personnages historiques :</w:t>
      </w:r>
    </w:p>
    <w:p w:rsidR="00857D4A" w:rsidRDefault="005362B5">
      <w:r>
        <w:rPr>
          <w:i/>
        </w:rPr>
        <w:t>Stendhal </w:t>
      </w:r>
      <w:r>
        <w:t xml:space="preserve">: romancier français (17783-1842), auteur de Le </w:t>
      </w:r>
      <w:r>
        <w:t>Rouge et le Noir, La Chartreuse de Parme...)</w:t>
      </w:r>
    </w:p>
    <w:p w:rsidR="00857D4A" w:rsidRDefault="005362B5">
      <w:pPr>
        <w:rPr>
          <w:i/>
        </w:rPr>
      </w:pPr>
      <w:r>
        <w:rPr>
          <w:i/>
        </w:rPr>
        <w:t>Mac Laurin 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i/>
        </w:rPr>
        <w:t xml:space="preserve">: </w:t>
      </w:r>
      <w:r>
        <w:t>mathématicien et physicien écossais (1698-1746)</w:t>
      </w:r>
    </w:p>
    <w:p w:rsidR="00857D4A" w:rsidRDefault="005362B5">
      <w:r>
        <w:rPr>
          <w:i/>
        </w:rPr>
        <w:t xml:space="preserve">Francis </w:t>
      </w:r>
      <w:proofErr w:type="spellStart"/>
      <w:r>
        <w:rPr>
          <w:i/>
        </w:rPr>
        <w:t>Maseres</w:t>
      </w:r>
      <w:proofErr w:type="spellEnd"/>
      <w:r>
        <w:rPr>
          <w:i/>
        </w:rPr>
        <w:t xml:space="preserve"> : </w:t>
      </w:r>
      <w:r>
        <w:t>juge et mathématicien britannique (1731-1824)</w:t>
      </w:r>
    </w:p>
    <w:p w:rsidR="00857D4A" w:rsidRDefault="00857D4A"/>
    <w:p w:rsidR="00857D4A" w:rsidRDefault="005362B5">
      <w:pPr>
        <w:rPr>
          <w:b/>
          <w:u w:val="single"/>
        </w:rPr>
      </w:pPr>
      <w:r>
        <w:rPr>
          <w:b/>
          <w:u w:val="single"/>
        </w:rPr>
        <w:t>Textes historiques :</w:t>
      </w:r>
    </w:p>
    <w:p w:rsidR="00857D4A" w:rsidRDefault="005362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Au XVIIIe siècle il y a peu d'occasions de manipuler des « nombr</w:t>
      </w:r>
      <w:r>
        <w:rPr>
          <w:color w:val="000000"/>
        </w:rPr>
        <w:t>es » négatifs qui ont un sens physique. En 1730, Réaumur réalise le premier thermomètre scientifique et il faudra encore un siècle pour que le grand public s'habitue à des températures en dessous de zéro.  Certains scientifiques expriment des sentiments tr</w:t>
      </w:r>
      <w:r>
        <w:rPr>
          <w:color w:val="000000"/>
        </w:rPr>
        <w:t>ès prudents, voire hostiles devant l'usage des quantités négatives, qui ne sont définitivement pas des nombres.</w:t>
      </w:r>
    </w:p>
    <w:p w:rsidR="00857D4A" w:rsidRDefault="00857D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780"/>
      </w:tblGrid>
      <w:tr w:rsidR="00857D4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A" w:rsidRDefault="0053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Mac Laurin</w:t>
            </w:r>
            <w:r>
              <w:rPr>
                <w:color w:val="000000"/>
              </w:rPr>
              <w:t xml:space="preserve"> dans son Traité des </w:t>
            </w:r>
            <w:proofErr w:type="gramStart"/>
            <w:r>
              <w:rPr>
                <w:color w:val="000000"/>
              </w:rPr>
              <w:t>fluxions,  1742</w:t>
            </w:r>
            <w:proofErr w:type="gramEnd"/>
            <w:r>
              <w:rPr>
                <w:color w:val="000000"/>
              </w:rPr>
              <w:t xml:space="preserve"> :</w:t>
            </w:r>
          </w:p>
          <w:p w:rsidR="00857D4A" w:rsidRDefault="0085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57D4A" w:rsidRDefault="0053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 L'usage du signe négatif en algèbre donne lieu à plusieurs conséquences qu'on a d'abord peine à admettre et ont donné l'occasion a des idées qui paraissent n'avoir aucun fondement réel »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A" w:rsidRDefault="0053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Francis </w:t>
            </w:r>
            <w:proofErr w:type="spellStart"/>
            <w:r>
              <w:rPr>
                <w:b/>
                <w:color w:val="000000"/>
              </w:rPr>
              <w:t>Maseres</w:t>
            </w:r>
            <w:proofErr w:type="spellEnd"/>
            <w:r>
              <w:rPr>
                <w:color w:val="000000"/>
              </w:rPr>
              <w:t xml:space="preserve"> dans sa Dissertation sur l'utilisation du signe nég</w:t>
            </w:r>
            <w:r>
              <w:rPr>
                <w:color w:val="000000"/>
              </w:rPr>
              <w:t>atif en algèbre (1759) :</w:t>
            </w:r>
          </w:p>
          <w:p w:rsidR="00857D4A" w:rsidRDefault="0085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57D4A" w:rsidRDefault="00536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 Elles servent seulement pour autant que je sois capable d'en juger, à obscurcir la doctrine toute entière des équations et à rendre ténébreuses des choses qui sont dans leur nature excessivement évidentes et simples.       Il eu</w:t>
            </w:r>
            <w:r>
              <w:rPr>
                <w:color w:val="000000"/>
              </w:rPr>
              <w:t>t été souhaitable en conséquence que les racines négatives n'aient jamais été admises dans l'algèbre ou qu'elles en aient été écartées »</w:t>
            </w:r>
          </w:p>
        </w:tc>
      </w:tr>
    </w:tbl>
    <w:p w:rsidR="00857D4A" w:rsidRDefault="005362B5">
      <w:bookmarkStart w:id="2" w:name="_GoBack"/>
      <w:r>
        <w:rPr>
          <w:b/>
          <w:u w:val="single"/>
        </w:rPr>
        <w:t xml:space="preserve">Références </w:t>
      </w:r>
      <w:r>
        <w:rPr>
          <w:b/>
        </w:rPr>
        <w:t>:</w:t>
      </w:r>
    </w:p>
    <w:p w:rsidR="00857D4A" w:rsidRDefault="005362B5">
      <w:r>
        <w:t>Quelques éléments d'histoire des nombres négatifs, Anne Boyé, IREM Nantes</w:t>
      </w:r>
    </w:p>
    <w:p w:rsidR="00857D4A" w:rsidRDefault="005362B5">
      <w:r>
        <w:t xml:space="preserve">Diaporama sur l'histoire de la numération : </w:t>
      </w:r>
      <w:hyperlink r:id="rId6">
        <w:r>
          <w:rPr>
            <w:color w:val="000080"/>
            <w:u w:val="single"/>
          </w:rPr>
          <w:t>https://www.apmep.fr/Histoire-de-l-ecriture-decimale</w:t>
        </w:r>
      </w:hyperlink>
      <w:bookmarkEnd w:id="2"/>
    </w:p>
    <w:sectPr w:rsidR="00857D4A">
      <w:pgSz w:w="11906" w:h="16838"/>
      <w:pgMar w:top="910" w:right="812" w:bottom="64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D4A"/>
    <w:rsid w:val="005362B5"/>
    <w:rsid w:val="008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E14AB-BB4A-4A5E-BDF3-EFBF67C1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mep.fr/Histoire-de-l-ecriture-decimal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Ludy</dc:creator>
  <cp:lastModifiedBy>Sandrine Ludy</cp:lastModifiedBy>
  <cp:revision>2</cp:revision>
  <dcterms:created xsi:type="dcterms:W3CDTF">2019-01-28T20:37:00Z</dcterms:created>
  <dcterms:modified xsi:type="dcterms:W3CDTF">2019-01-28T20:37:00Z</dcterms:modified>
</cp:coreProperties>
</file>