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1D" w:rsidRPr="00E63346" w:rsidRDefault="008B7D1D" w:rsidP="008B7D1D">
      <w:pPr>
        <w:pBdr>
          <w:bottom w:val="single" w:sz="4" w:space="1" w:color="auto"/>
        </w:pBdr>
        <w:jc w:val="center"/>
        <w:rPr>
          <w:rFonts w:ascii="Informal Roman" w:hAnsi="Informal Roman"/>
          <w:b/>
          <w:sz w:val="52"/>
          <w:szCs w:val="52"/>
        </w:rPr>
      </w:pPr>
      <w:r w:rsidRPr="00E63346">
        <w:rPr>
          <w:rFonts w:ascii="Informal Roman" w:hAnsi="Informal Roman"/>
          <w:b/>
          <w:sz w:val="52"/>
          <w:szCs w:val="52"/>
        </w:rPr>
        <w:t xml:space="preserve">Séquence </w:t>
      </w:r>
      <w:r>
        <w:rPr>
          <w:rFonts w:ascii="Informal Roman" w:hAnsi="Informal Roman"/>
          <w:b/>
          <w:sz w:val="52"/>
          <w:szCs w:val="52"/>
        </w:rPr>
        <w:t>– Rire dans l’Antiquité</w:t>
      </w:r>
    </w:p>
    <w:p w:rsidR="008B7D1D" w:rsidRDefault="008B7D1D" w:rsidP="008B7D1D">
      <w:pPr>
        <w:pStyle w:val="Sansinterligne"/>
      </w:pPr>
    </w:p>
    <w:p w:rsidR="007F4E14" w:rsidRDefault="007F4E14" w:rsidP="008B7D1D">
      <w:pPr>
        <w:pStyle w:val="Sansinterligne"/>
        <w:jc w:val="both"/>
        <w:rPr>
          <w:sz w:val="24"/>
          <w:szCs w:val="24"/>
        </w:rPr>
      </w:pPr>
    </w:p>
    <w:p w:rsidR="007F4E14" w:rsidRDefault="007F4E14" w:rsidP="008B7D1D">
      <w:pPr>
        <w:pStyle w:val="Sansinterligne"/>
        <w:jc w:val="both"/>
        <w:rPr>
          <w:sz w:val="24"/>
          <w:szCs w:val="24"/>
        </w:rPr>
      </w:pPr>
    </w:p>
    <w:p w:rsidR="008B7D1D" w:rsidRPr="007F4E14" w:rsidRDefault="008B7D1D" w:rsidP="008B7D1D">
      <w:pPr>
        <w:pStyle w:val="Sansinterligne"/>
        <w:jc w:val="both"/>
        <w:rPr>
          <w:sz w:val="24"/>
          <w:szCs w:val="24"/>
        </w:rPr>
      </w:pPr>
      <w:r w:rsidRPr="007F4E14">
        <w:rPr>
          <w:sz w:val="24"/>
          <w:szCs w:val="24"/>
        </w:rPr>
        <w:t>Durée de la séquence : environ 8 heures</w:t>
      </w:r>
    </w:p>
    <w:p w:rsidR="008B7D1D" w:rsidRPr="007F4E14" w:rsidRDefault="008B7D1D" w:rsidP="008B7D1D">
      <w:pPr>
        <w:pStyle w:val="Sansinterligne"/>
        <w:jc w:val="both"/>
        <w:rPr>
          <w:sz w:val="24"/>
          <w:szCs w:val="24"/>
        </w:rPr>
      </w:pPr>
    </w:p>
    <w:p w:rsidR="008B7D1D" w:rsidRPr="007F4E14" w:rsidRDefault="008B7D1D" w:rsidP="008B7D1D">
      <w:pPr>
        <w:pStyle w:val="Sansinterligne"/>
        <w:jc w:val="both"/>
        <w:rPr>
          <w:sz w:val="24"/>
          <w:szCs w:val="24"/>
        </w:rPr>
      </w:pPr>
      <w:r w:rsidRPr="007F4E14">
        <w:rPr>
          <w:sz w:val="24"/>
          <w:szCs w:val="24"/>
        </w:rPr>
        <w:t>L’idée qui a présidé à l’élaboration de cette séquence est soit de préparer soit de consolider l’étude de l’entrée du programme de français intitulée « Dénoncer les travers de la société ». Il s’agit de fait d’apporter un éclairage inédit pour les élèves, à travers l’étude de textes antiques, sur la question de la satire qu’ils seront immanquablement amenés à aborder en cours de français</w:t>
      </w:r>
      <w:r w:rsidR="00856C82" w:rsidRPr="007F4E14">
        <w:rPr>
          <w:sz w:val="24"/>
          <w:szCs w:val="24"/>
        </w:rPr>
        <w:t xml:space="preserve"> et qu’ils ont bien souvent déjà croisée à travers la lecture des pièces de Molière</w:t>
      </w:r>
      <w:r w:rsidRPr="007F4E14">
        <w:rPr>
          <w:sz w:val="24"/>
          <w:szCs w:val="24"/>
        </w:rPr>
        <w:t xml:space="preserve">. </w:t>
      </w:r>
      <w:r w:rsidR="00856C82" w:rsidRPr="007F4E14">
        <w:rPr>
          <w:sz w:val="24"/>
          <w:szCs w:val="24"/>
        </w:rPr>
        <w:t>Elle peut donc se situer aussi bien en amont de la séquence de français que simultanément ou dans son prolongement.</w:t>
      </w:r>
    </w:p>
    <w:p w:rsidR="00856C82" w:rsidRPr="007F4E14" w:rsidRDefault="00856C82" w:rsidP="008B7D1D">
      <w:pPr>
        <w:pStyle w:val="Sansinterligne"/>
        <w:jc w:val="both"/>
        <w:rPr>
          <w:sz w:val="24"/>
          <w:szCs w:val="24"/>
        </w:rPr>
      </w:pPr>
      <w:r w:rsidRPr="007F4E14">
        <w:rPr>
          <w:sz w:val="24"/>
          <w:szCs w:val="24"/>
        </w:rPr>
        <w:t>L’objectif est d’amener les élèves à réinvestir l’étude des textes latins et grecs étudiés lors de la séquence dans les travaux proposés en cours de français. Pour ce faire, j’ai travaillé en étroite collaboration avec deux de mes collègues, qui m’ont chacune proposé de réinvestir le travail engagé en ECLA de deux manières différentes :</w:t>
      </w:r>
    </w:p>
    <w:p w:rsidR="00856C82" w:rsidRPr="007F4E14" w:rsidRDefault="00856C82" w:rsidP="00856C82">
      <w:pPr>
        <w:pStyle w:val="Sansinterligne"/>
        <w:numPr>
          <w:ilvl w:val="0"/>
          <w:numId w:val="1"/>
        </w:numPr>
        <w:jc w:val="both"/>
        <w:rPr>
          <w:sz w:val="24"/>
          <w:szCs w:val="24"/>
        </w:rPr>
      </w:pPr>
      <w:r w:rsidRPr="007F4E14">
        <w:rPr>
          <w:sz w:val="24"/>
          <w:szCs w:val="24"/>
        </w:rPr>
        <w:t xml:space="preserve"> d’un côté par l’intégration des textes latins et grecs dans un carnet de lecture (sous forme de padlet) dans la perspective de constituer un large corpus réutilisable en classe de seconde.</w:t>
      </w:r>
    </w:p>
    <w:p w:rsidR="008B7D1D" w:rsidRPr="007F4E14" w:rsidRDefault="00856C82" w:rsidP="00856C82">
      <w:pPr>
        <w:pStyle w:val="Sansinterligne"/>
        <w:numPr>
          <w:ilvl w:val="0"/>
          <w:numId w:val="1"/>
        </w:numPr>
        <w:jc w:val="both"/>
        <w:rPr>
          <w:sz w:val="24"/>
          <w:szCs w:val="24"/>
        </w:rPr>
      </w:pPr>
      <w:r w:rsidRPr="007F4E14">
        <w:rPr>
          <w:sz w:val="24"/>
          <w:szCs w:val="24"/>
        </w:rPr>
        <w:t>De l’autre, en proposant aux élèves un texte d’Aristophane comme support pour la première partie de l’épreuve de brevet.</w:t>
      </w:r>
    </w:p>
    <w:p w:rsidR="00856C82" w:rsidRPr="007F4E14" w:rsidRDefault="00856C82" w:rsidP="00856C82">
      <w:pPr>
        <w:pStyle w:val="Sansinterligne"/>
        <w:jc w:val="both"/>
        <w:rPr>
          <w:sz w:val="24"/>
          <w:szCs w:val="24"/>
        </w:rPr>
      </w:pPr>
      <w:r w:rsidRPr="007F4E14">
        <w:rPr>
          <w:sz w:val="24"/>
          <w:szCs w:val="24"/>
        </w:rPr>
        <w:t xml:space="preserve">Par ailleurs, on a veillé à ce que les textes choisis soient le plus systématiquement </w:t>
      </w:r>
      <w:r w:rsidR="007F4E14" w:rsidRPr="007F4E14">
        <w:rPr>
          <w:sz w:val="24"/>
          <w:szCs w:val="24"/>
        </w:rPr>
        <w:t xml:space="preserve">possible </w:t>
      </w:r>
      <w:r w:rsidRPr="007F4E14">
        <w:rPr>
          <w:sz w:val="24"/>
          <w:szCs w:val="24"/>
        </w:rPr>
        <w:t>mis en perspective avec des textes et supports issus d’époques extrêmement varié</w:t>
      </w:r>
      <w:r w:rsidR="007F4E14" w:rsidRPr="007F4E14">
        <w:rPr>
          <w:sz w:val="24"/>
          <w:szCs w:val="24"/>
        </w:rPr>
        <w:t>e</w:t>
      </w:r>
      <w:r w:rsidRPr="007F4E14">
        <w:rPr>
          <w:sz w:val="24"/>
          <w:szCs w:val="24"/>
        </w:rPr>
        <w:t xml:space="preserve">s, afin que les élèves commencent à appréhender la notion de continuité propre à l’histoire de la littérature. </w:t>
      </w:r>
    </w:p>
    <w:p w:rsidR="00856C82" w:rsidRPr="007F4E14" w:rsidRDefault="00856C82" w:rsidP="00856C82">
      <w:pPr>
        <w:pStyle w:val="Sansinterligne"/>
        <w:jc w:val="both"/>
        <w:rPr>
          <w:sz w:val="24"/>
          <w:szCs w:val="24"/>
        </w:rPr>
      </w:pPr>
      <w:r w:rsidRPr="007F4E14">
        <w:rPr>
          <w:sz w:val="24"/>
          <w:szCs w:val="24"/>
        </w:rPr>
        <w:t>En définitive, les trois éléments qui ont pesé dans la construction de cette séquence peuvent être résumé de la sorte :</w:t>
      </w:r>
    </w:p>
    <w:p w:rsidR="00856C82" w:rsidRPr="007F4E14" w:rsidRDefault="00856C82" w:rsidP="00856C82">
      <w:pPr>
        <w:pStyle w:val="Sansinterligne"/>
        <w:numPr>
          <w:ilvl w:val="0"/>
          <w:numId w:val="1"/>
        </w:numPr>
        <w:jc w:val="both"/>
        <w:rPr>
          <w:sz w:val="24"/>
          <w:szCs w:val="24"/>
        </w:rPr>
      </w:pPr>
      <w:r w:rsidRPr="007F4E14">
        <w:rPr>
          <w:sz w:val="24"/>
          <w:szCs w:val="24"/>
        </w:rPr>
        <w:t>Souligner le lien étroit avec l’étude de textes en cours de français</w:t>
      </w:r>
      <w:r w:rsidR="007F4E14" w:rsidRPr="007F4E14">
        <w:rPr>
          <w:sz w:val="24"/>
          <w:szCs w:val="24"/>
        </w:rPr>
        <w:t> ;</w:t>
      </w:r>
    </w:p>
    <w:p w:rsidR="00856C82" w:rsidRPr="007F4E14" w:rsidRDefault="00856C82" w:rsidP="00856C82">
      <w:pPr>
        <w:pStyle w:val="Sansinterligne"/>
        <w:numPr>
          <w:ilvl w:val="0"/>
          <w:numId w:val="1"/>
        </w:numPr>
        <w:jc w:val="both"/>
        <w:rPr>
          <w:sz w:val="24"/>
          <w:szCs w:val="24"/>
        </w:rPr>
      </w:pPr>
      <w:r w:rsidRPr="007F4E14">
        <w:rPr>
          <w:sz w:val="24"/>
          <w:szCs w:val="24"/>
        </w:rPr>
        <w:t>Préparer les élèves au commentaire de texte tel qu’il leur sera demandé en classe de seconde</w:t>
      </w:r>
      <w:r w:rsidR="007F4E14" w:rsidRPr="007F4E14">
        <w:rPr>
          <w:sz w:val="24"/>
          <w:szCs w:val="24"/>
        </w:rPr>
        <w:t> ;</w:t>
      </w:r>
    </w:p>
    <w:p w:rsidR="00200CC7" w:rsidRPr="007F4E14" w:rsidRDefault="00856C82" w:rsidP="00B03CAA">
      <w:pPr>
        <w:pStyle w:val="Sansinterligne"/>
        <w:numPr>
          <w:ilvl w:val="0"/>
          <w:numId w:val="1"/>
        </w:numPr>
        <w:jc w:val="both"/>
        <w:rPr>
          <w:sz w:val="24"/>
          <w:szCs w:val="24"/>
        </w:rPr>
      </w:pPr>
      <w:r w:rsidRPr="007F4E14">
        <w:rPr>
          <w:sz w:val="24"/>
          <w:szCs w:val="24"/>
        </w:rPr>
        <w:t>Créer un corpus de textes</w:t>
      </w:r>
      <w:r w:rsidR="00E551D8" w:rsidRPr="007F4E14">
        <w:rPr>
          <w:sz w:val="24"/>
          <w:szCs w:val="24"/>
        </w:rPr>
        <w:t xml:space="preserve"> sur le thème de la satire allant de l’Antiquité à nos jours</w:t>
      </w:r>
    </w:p>
    <w:p w:rsidR="007F4E14" w:rsidRPr="007F4E14" w:rsidRDefault="007F4E14" w:rsidP="007F4E14">
      <w:pPr>
        <w:pStyle w:val="Sansinterligne"/>
        <w:jc w:val="both"/>
        <w:rPr>
          <w:sz w:val="24"/>
          <w:szCs w:val="24"/>
        </w:rPr>
      </w:pPr>
    </w:p>
    <w:p w:rsidR="007F4E14" w:rsidRDefault="007F4E14" w:rsidP="007F4E14">
      <w:pPr>
        <w:pStyle w:val="Sansinterligne"/>
        <w:jc w:val="both"/>
      </w:pPr>
    </w:p>
    <w:p w:rsidR="007F4E14" w:rsidRDefault="007F4E14" w:rsidP="007F4E14">
      <w:pPr>
        <w:pStyle w:val="Sansinterligne"/>
        <w:jc w:val="both"/>
      </w:pPr>
    </w:p>
    <w:p w:rsidR="007F4E14" w:rsidRDefault="007F4E14" w:rsidP="007F4E14">
      <w:pPr>
        <w:pStyle w:val="Sansinterligne"/>
        <w:jc w:val="both"/>
      </w:pPr>
    </w:p>
    <w:p w:rsidR="007F4E14" w:rsidRDefault="007F4E14" w:rsidP="007F4E14">
      <w:pPr>
        <w:pStyle w:val="Sansinterligne"/>
        <w:jc w:val="both"/>
      </w:pPr>
    </w:p>
    <w:p w:rsidR="007F4E14" w:rsidRDefault="007F4E14" w:rsidP="007F4E14">
      <w:pPr>
        <w:pStyle w:val="Sansinterligne"/>
        <w:jc w:val="both"/>
      </w:pPr>
    </w:p>
    <w:p w:rsidR="007F4E14" w:rsidRDefault="007F4E14" w:rsidP="007F4E14">
      <w:pPr>
        <w:pStyle w:val="Sansinterligne"/>
        <w:jc w:val="both"/>
      </w:pPr>
    </w:p>
    <w:p w:rsidR="007F4E14" w:rsidRDefault="007F4E14" w:rsidP="007F4E14">
      <w:pPr>
        <w:pStyle w:val="Sansinterligne"/>
        <w:jc w:val="both"/>
      </w:pPr>
    </w:p>
    <w:p w:rsidR="007F4E14" w:rsidRDefault="007F4E14" w:rsidP="007F4E14">
      <w:pPr>
        <w:pStyle w:val="Sansinterligne"/>
        <w:jc w:val="both"/>
      </w:pPr>
    </w:p>
    <w:p w:rsidR="007F4E14" w:rsidRDefault="007F4E14" w:rsidP="007F4E14">
      <w:pPr>
        <w:pStyle w:val="Sansinterligne"/>
        <w:jc w:val="both"/>
      </w:pPr>
    </w:p>
    <w:p w:rsidR="007F4E14" w:rsidRDefault="007F4E14" w:rsidP="007F4E14">
      <w:pPr>
        <w:pStyle w:val="Sansinterligne"/>
        <w:jc w:val="both"/>
      </w:pPr>
    </w:p>
    <w:p w:rsidR="00B03CAA" w:rsidRDefault="00B03CAA" w:rsidP="00B03CAA">
      <w:pPr>
        <w:pStyle w:val="Sansinterligne"/>
        <w:ind w:left="720"/>
        <w:jc w:val="both"/>
      </w:pPr>
    </w:p>
    <w:tbl>
      <w:tblPr>
        <w:tblW w:w="16302" w:type="dxa"/>
        <w:tblInd w:w="-416" w:type="dxa"/>
        <w:tblLayout w:type="fixed"/>
        <w:tblCellMar>
          <w:left w:w="10" w:type="dxa"/>
          <w:right w:w="10" w:type="dxa"/>
        </w:tblCellMar>
        <w:tblLook w:val="0000"/>
      </w:tblPr>
      <w:tblGrid>
        <w:gridCol w:w="3403"/>
        <w:gridCol w:w="2268"/>
        <w:gridCol w:w="2126"/>
        <w:gridCol w:w="2410"/>
        <w:gridCol w:w="2126"/>
        <w:gridCol w:w="3969"/>
      </w:tblGrid>
      <w:tr w:rsidR="008B7D1D" w:rsidTr="0046643E">
        <w:tc>
          <w:tcPr>
            <w:tcW w:w="16302" w:type="dxa"/>
            <w:gridSpan w:val="6"/>
            <w:tcBorders>
              <w:top w:val="single" w:sz="2" w:space="0" w:color="000000"/>
              <w:left w:val="single" w:sz="2" w:space="0" w:color="000000"/>
              <w:right w:val="single" w:sz="2" w:space="0" w:color="000000"/>
            </w:tcBorders>
            <w:shd w:val="clear" w:color="auto" w:fill="EAF1DD" w:themeFill="accent3" w:themeFillTint="33"/>
          </w:tcPr>
          <w:p w:rsidR="008B7D1D" w:rsidRPr="000D65AF" w:rsidRDefault="00E551D8" w:rsidP="00E551D8">
            <w:pPr>
              <w:pStyle w:val="Sansinterligne"/>
              <w:jc w:val="center"/>
            </w:pPr>
            <w:r>
              <w:rPr>
                <w:rFonts w:ascii="Algerian" w:hAnsi="Algerian"/>
              </w:rPr>
              <w:lastRenderedPageBreak/>
              <w:t>VIE FAMILIALE, Sociale et intellectuelle</w:t>
            </w:r>
          </w:p>
        </w:tc>
      </w:tr>
      <w:tr w:rsidR="008B7D1D" w:rsidTr="00ED1EF7">
        <w:tc>
          <w:tcPr>
            <w:tcW w:w="3403" w:type="dxa"/>
            <w:tcBorders>
              <w:top w:val="single" w:sz="2" w:space="0" w:color="000000"/>
              <w:left w:val="single" w:sz="2" w:space="0" w:color="000000"/>
              <w:bottom w:val="single" w:sz="2" w:space="0" w:color="000000"/>
            </w:tcBorders>
            <w:shd w:val="clear" w:color="auto" w:fill="F2DBDB" w:themeFill="accent2" w:themeFillTint="33"/>
            <w:tcMar>
              <w:top w:w="55" w:type="dxa"/>
              <w:left w:w="55" w:type="dxa"/>
              <w:bottom w:w="55" w:type="dxa"/>
              <w:right w:w="55" w:type="dxa"/>
            </w:tcMar>
          </w:tcPr>
          <w:p w:rsidR="008B7D1D" w:rsidRDefault="008B7D1D" w:rsidP="0046643E">
            <w:pPr>
              <w:pStyle w:val="TableContents"/>
              <w:rPr>
                <w:b/>
                <w:bCs/>
                <w:i/>
                <w:iCs/>
              </w:rPr>
            </w:pPr>
            <w:r>
              <w:rPr>
                <w:b/>
                <w:bCs/>
                <w:i/>
                <w:iCs/>
              </w:rPr>
              <w:t xml:space="preserve">Textes </w:t>
            </w:r>
          </w:p>
        </w:tc>
        <w:tc>
          <w:tcPr>
            <w:tcW w:w="2268"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55" w:type="dxa"/>
              <w:left w:w="55" w:type="dxa"/>
              <w:bottom w:w="55" w:type="dxa"/>
              <w:right w:w="55" w:type="dxa"/>
            </w:tcMar>
          </w:tcPr>
          <w:p w:rsidR="008B7D1D" w:rsidRDefault="008B7D1D" w:rsidP="0046643E">
            <w:pPr>
              <w:pStyle w:val="TableContents"/>
              <w:rPr>
                <w:b/>
                <w:bCs/>
                <w:i/>
                <w:iCs/>
              </w:rPr>
            </w:pPr>
            <w:r>
              <w:rPr>
                <w:b/>
                <w:bCs/>
                <w:i/>
                <w:iCs/>
              </w:rPr>
              <w:t>Documents iconographiques</w:t>
            </w:r>
          </w:p>
        </w:tc>
        <w:tc>
          <w:tcPr>
            <w:tcW w:w="2126" w:type="dxa"/>
            <w:tcBorders>
              <w:top w:val="single" w:sz="2" w:space="0" w:color="000000"/>
              <w:left w:val="single" w:sz="2" w:space="0" w:color="000000"/>
              <w:bottom w:val="single" w:sz="2" w:space="0" w:color="000000"/>
            </w:tcBorders>
            <w:shd w:val="clear" w:color="auto" w:fill="F2DBDB" w:themeFill="accent2" w:themeFillTint="33"/>
            <w:tcMar>
              <w:top w:w="55" w:type="dxa"/>
              <w:left w:w="55" w:type="dxa"/>
              <w:bottom w:w="55" w:type="dxa"/>
              <w:right w:w="55" w:type="dxa"/>
            </w:tcMar>
          </w:tcPr>
          <w:p w:rsidR="008B7D1D" w:rsidRDefault="008B7D1D" w:rsidP="0046643E">
            <w:pPr>
              <w:pStyle w:val="TableContents"/>
              <w:rPr>
                <w:b/>
                <w:bCs/>
                <w:i/>
                <w:iCs/>
              </w:rPr>
            </w:pPr>
            <w:r>
              <w:rPr>
                <w:b/>
                <w:bCs/>
                <w:i/>
                <w:iCs/>
              </w:rPr>
              <w:t>Langue</w:t>
            </w:r>
          </w:p>
        </w:tc>
        <w:tc>
          <w:tcPr>
            <w:tcW w:w="2410" w:type="dxa"/>
            <w:tcBorders>
              <w:top w:val="single" w:sz="2" w:space="0" w:color="000000"/>
              <w:left w:val="single" w:sz="2" w:space="0" w:color="000000"/>
              <w:bottom w:val="single" w:sz="2" w:space="0" w:color="000000"/>
            </w:tcBorders>
            <w:shd w:val="clear" w:color="auto" w:fill="F2DBDB" w:themeFill="accent2" w:themeFillTint="33"/>
            <w:tcMar>
              <w:top w:w="55" w:type="dxa"/>
              <w:left w:w="55" w:type="dxa"/>
              <w:bottom w:w="55" w:type="dxa"/>
              <w:right w:w="55" w:type="dxa"/>
            </w:tcMar>
          </w:tcPr>
          <w:p w:rsidR="008B7D1D" w:rsidRDefault="008B7D1D" w:rsidP="0046643E">
            <w:pPr>
              <w:pStyle w:val="TableContents"/>
              <w:rPr>
                <w:b/>
                <w:bCs/>
                <w:i/>
                <w:iCs/>
              </w:rPr>
            </w:pPr>
            <w:r>
              <w:rPr>
                <w:b/>
                <w:bCs/>
                <w:i/>
                <w:iCs/>
              </w:rPr>
              <w:t>Lexique</w:t>
            </w:r>
            <w:r>
              <w:rPr>
                <w:rStyle w:val="Appelnotedebasdep"/>
                <w:b/>
                <w:bCs/>
                <w:i/>
                <w:iCs/>
              </w:rPr>
              <w:footnoteReference w:id="2"/>
            </w:r>
          </w:p>
        </w:tc>
        <w:tc>
          <w:tcPr>
            <w:tcW w:w="2126" w:type="dxa"/>
            <w:tcBorders>
              <w:top w:val="single" w:sz="2" w:space="0" w:color="000000"/>
              <w:left w:val="single" w:sz="2" w:space="0" w:color="000000"/>
              <w:bottom w:val="single" w:sz="2" w:space="0" w:color="000000"/>
            </w:tcBorders>
            <w:shd w:val="clear" w:color="auto" w:fill="F2DBDB" w:themeFill="accent2" w:themeFillTint="33"/>
            <w:tcMar>
              <w:top w:w="55" w:type="dxa"/>
              <w:left w:w="55" w:type="dxa"/>
              <w:bottom w:w="55" w:type="dxa"/>
              <w:right w:w="55" w:type="dxa"/>
            </w:tcMar>
          </w:tcPr>
          <w:p w:rsidR="008B7D1D" w:rsidRDefault="008B7D1D" w:rsidP="0046643E">
            <w:pPr>
              <w:pStyle w:val="TableContents"/>
              <w:rPr>
                <w:b/>
                <w:bCs/>
                <w:i/>
                <w:iCs/>
              </w:rPr>
            </w:pPr>
            <w:r>
              <w:rPr>
                <w:b/>
                <w:bCs/>
                <w:i/>
                <w:iCs/>
              </w:rPr>
              <w:t>Civilisation</w:t>
            </w:r>
          </w:p>
        </w:tc>
        <w:tc>
          <w:tcPr>
            <w:tcW w:w="3969"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55" w:type="dxa"/>
              <w:left w:w="55" w:type="dxa"/>
              <w:bottom w:w="55" w:type="dxa"/>
              <w:right w:w="55" w:type="dxa"/>
            </w:tcMar>
          </w:tcPr>
          <w:p w:rsidR="008B7D1D" w:rsidRDefault="00736DDA" w:rsidP="0046643E">
            <w:pPr>
              <w:pStyle w:val="TableContents"/>
              <w:rPr>
                <w:b/>
                <w:bCs/>
                <w:i/>
                <w:iCs/>
              </w:rPr>
            </w:pPr>
            <w:r>
              <w:rPr>
                <w:b/>
                <w:bCs/>
                <w:i/>
                <w:iCs/>
              </w:rPr>
              <w:t>Traduction et commentaire</w:t>
            </w:r>
          </w:p>
        </w:tc>
      </w:tr>
      <w:tr w:rsidR="008B7D1D" w:rsidTr="0046643E">
        <w:tc>
          <w:tcPr>
            <w:tcW w:w="16302" w:type="dxa"/>
            <w:gridSpan w:val="6"/>
            <w:tcBorders>
              <w:top w:val="single" w:sz="2" w:space="0" w:color="000000"/>
              <w:bottom w:val="single" w:sz="2" w:space="0" w:color="000000"/>
              <w:right w:val="single" w:sz="2" w:space="0" w:color="000000"/>
            </w:tcBorders>
            <w:shd w:val="clear" w:color="auto" w:fill="C6D9F1" w:themeFill="text2" w:themeFillTint="33"/>
          </w:tcPr>
          <w:p w:rsidR="008B7D1D" w:rsidRDefault="00736DDA" w:rsidP="0046643E">
            <w:pPr>
              <w:pStyle w:val="TableContents"/>
              <w:jc w:val="center"/>
              <w:rPr>
                <w:b/>
                <w:color w:val="FF0000"/>
                <w:u w:val="single"/>
              </w:rPr>
            </w:pPr>
            <w:r>
              <w:rPr>
                <w:b/>
                <w:color w:val="FF0000"/>
                <w:u w:val="single"/>
              </w:rPr>
              <w:t xml:space="preserve">L’art </w:t>
            </w:r>
            <w:r w:rsidR="00372515">
              <w:rPr>
                <w:b/>
                <w:color w:val="FF0000"/>
                <w:u w:val="single"/>
              </w:rPr>
              <w:t xml:space="preserve">de l’épigramme </w:t>
            </w:r>
            <w:r>
              <w:rPr>
                <w:b/>
                <w:color w:val="FF0000"/>
                <w:u w:val="single"/>
              </w:rPr>
              <w:t xml:space="preserve"> (2h)</w:t>
            </w:r>
          </w:p>
          <w:p w:rsidR="008B7D1D" w:rsidRDefault="008B7D1D" w:rsidP="0046643E">
            <w:pPr>
              <w:pStyle w:val="TableContents"/>
              <w:jc w:val="center"/>
              <w:rPr>
                <w:b/>
                <w:bCs/>
                <w:i/>
                <w:iCs/>
              </w:rPr>
            </w:pPr>
          </w:p>
        </w:tc>
      </w:tr>
      <w:tr w:rsidR="008B7D1D" w:rsidTr="00ED1EF7">
        <w:trPr>
          <w:trHeight w:val="3624"/>
        </w:trPr>
        <w:tc>
          <w:tcPr>
            <w:tcW w:w="3403" w:type="dxa"/>
            <w:tcBorders>
              <w:bottom w:val="single" w:sz="2" w:space="0" w:color="000000"/>
            </w:tcBorders>
            <w:tcMar>
              <w:top w:w="55" w:type="dxa"/>
              <w:left w:w="55" w:type="dxa"/>
              <w:bottom w:w="55" w:type="dxa"/>
              <w:right w:w="55" w:type="dxa"/>
            </w:tcMar>
          </w:tcPr>
          <w:p w:rsidR="008B7D1D" w:rsidRDefault="00E551D8" w:rsidP="0046643E">
            <w:pPr>
              <w:pStyle w:val="TableContents"/>
            </w:pPr>
            <w:r w:rsidRPr="00372515">
              <w:rPr>
                <w:b/>
              </w:rPr>
              <w:t>Texte latin</w:t>
            </w:r>
            <w:r>
              <w:t xml:space="preserve"> : </w:t>
            </w:r>
            <w:r w:rsidR="008B7D1D">
              <w:t xml:space="preserve"> </w:t>
            </w:r>
            <w:r>
              <w:t xml:space="preserve">Martial, </w:t>
            </w:r>
            <w:r w:rsidRPr="00402A05">
              <w:rPr>
                <w:i/>
              </w:rPr>
              <w:t>Epigrammes</w:t>
            </w:r>
            <w:r>
              <w:t xml:space="preserve">, </w:t>
            </w:r>
            <w:r w:rsidR="00402A05">
              <w:t>II, 58 «  In Zoilum » / IV, 24 « Ad Fabianum » / IV, 41 / V, 43, « Thais et Laecania »</w:t>
            </w:r>
            <w:r w:rsidR="00736DDA">
              <w:t xml:space="preserve"> </w:t>
            </w:r>
          </w:p>
          <w:p w:rsidR="00736DDA" w:rsidRDefault="00736DDA" w:rsidP="0046643E">
            <w:pPr>
              <w:pStyle w:val="TableContents"/>
            </w:pPr>
            <w:r>
              <w:t>/ II, 7 « Contre Atticus »</w:t>
            </w:r>
          </w:p>
          <w:p w:rsidR="00402A05" w:rsidRDefault="00402A05" w:rsidP="0046643E">
            <w:pPr>
              <w:pStyle w:val="TableContents"/>
            </w:pPr>
            <w:r w:rsidRPr="00372515">
              <w:rPr>
                <w:b/>
              </w:rPr>
              <w:t>Texte français</w:t>
            </w:r>
            <w:r>
              <w:t xml:space="preserve"> : Edmond Rostand, </w:t>
            </w:r>
            <w:r w:rsidRPr="00736DDA">
              <w:rPr>
                <w:i/>
              </w:rPr>
              <w:t>Cyrano de Bergerac</w:t>
            </w:r>
            <w:r>
              <w:t>, I, 4</w:t>
            </w:r>
            <w:r w:rsidR="00372515">
              <w:t xml:space="preserve"> (« A la fin de l’envoi, je touche… »)</w:t>
            </w:r>
          </w:p>
          <w:p w:rsidR="00402A05" w:rsidRDefault="00402A05" w:rsidP="0046643E">
            <w:pPr>
              <w:pStyle w:val="TableContents"/>
            </w:pPr>
            <w:r>
              <w:t>Epigrammes varié</w:t>
            </w:r>
            <w:r w:rsidR="00372515">
              <w:t>e</w:t>
            </w:r>
            <w:r>
              <w:t>s (Voltaire, « Jean Fréron »…)</w:t>
            </w:r>
          </w:p>
          <w:p w:rsidR="008B7D1D" w:rsidRDefault="008B7D1D" w:rsidP="0046643E">
            <w:pPr>
              <w:pStyle w:val="TableContents"/>
            </w:pPr>
          </w:p>
          <w:p w:rsidR="008B7D1D" w:rsidRDefault="008B7D1D" w:rsidP="0046643E">
            <w:pPr>
              <w:pStyle w:val="TableContents"/>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8B7D1D" w:rsidRDefault="00402A05" w:rsidP="0046643E">
            <w:pPr>
              <w:pStyle w:val="TableContents"/>
            </w:pPr>
            <w:r>
              <w:t xml:space="preserve">Adaptation filmique de </w:t>
            </w:r>
            <w:r w:rsidRPr="00736DDA">
              <w:rPr>
                <w:i/>
              </w:rPr>
              <w:t>Cyrano</w:t>
            </w:r>
            <w:r w:rsidR="00736DDA">
              <w:t xml:space="preserve"> par J.P. Rappeneau, 1990 (extrait correspondant à I, 4)</w:t>
            </w:r>
          </w:p>
          <w:p w:rsidR="00402A05" w:rsidRDefault="00402A05" w:rsidP="0046643E">
            <w:pPr>
              <w:pStyle w:val="TableContents"/>
            </w:pPr>
            <w:r>
              <w:t>Tweets et épigrammes</w:t>
            </w:r>
          </w:p>
          <w:p w:rsidR="00402A05" w:rsidRDefault="00402A05" w:rsidP="00402A05">
            <w:pPr>
              <w:pStyle w:val="TableContents"/>
            </w:pPr>
          </w:p>
        </w:tc>
        <w:tc>
          <w:tcPr>
            <w:tcW w:w="2126" w:type="dxa"/>
            <w:tcBorders>
              <w:left w:val="single" w:sz="2" w:space="0" w:color="000000"/>
              <w:bottom w:val="single" w:sz="2" w:space="0" w:color="000000"/>
            </w:tcBorders>
            <w:tcMar>
              <w:top w:w="55" w:type="dxa"/>
              <w:left w:w="55" w:type="dxa"/>
              <w:bottom w:w="55" w:type="dxa"/>
              <w:right w:w="55" w:type="dxa"/>
            </w:tcMar>
          </w:tcPr>
          <w:p w:rsidR="008B7D1D" w:rsidRDefault="00736DDA" w:rsidP="0046643E">
            <w:pPr>
              <w:pStyle w:val="TableContents"/>
            </w:pPr>
            <w:r>
              <w:t>Le participe futur actif –urus</w:t>
            </w:r>
          </w:p>
          <w:p w:rsidR="00736DDA" w:rsidRDefault="00736DDA" w:rsidP="0046643E">
            <w:pPr>
              <w:pStyle w:val="TableContents"/>
            </w:pPr>
            <w:r>
              <w:t>Approfondir : la distinction hic / ille</w:t>
            </w:r>
          </w:p>
          <w:p w:rsidR="008B7D1D" w:rsidRDefault="008B7D1D" w:rsidP="0046643E">
            <w:pPr>
              <w:pStyle w:val="TableContents"/>
            </w:pPr>
          </w:p>
          <w:p w:rsidR="008B7D1D" w:rsidRDefault="008B7D1D" w:rsidP="0046643E">
            <w:pPr>
              <w:pStyle w:val="TableContents"/>
            </w:pPr>
          </w:p>
        </w:tc>
        <w:tc>
          <w:tcPr>
            <w:tcW w:w="2410" w:type="dxa"/>
            <w:tcBorders>
              <w:left w:val="single" w:sz="2" w:space="0" w:color="000000"/>
              <w:bottom w:val="single" w:sz="2" w:space="0" w:color="000000"/>
            </w:tcBorders>
            <w:tcMar>
              <w:top w:w="55" w:type="dxa"/>
              <w:left w:w="55" w:type="dxa"/>
              <w:bottom w:w="55" w:type="dxa"/>
              <w:right w:w="55" w:type="dxa"/>
            </w:tcMar>
          </w:tcPr>
          <w:p w:rsidR="008B7D1D" w:rsidRDefault="00736DDA" w:rsidP="0046643E">
            <w:pPr>
              <w:pStyle w:val="TableContents"/>
              <w:rPr>
                <w:lang w:val="es-ES_tradnl"/>
              </w:rPr>
            </w:pPr>
            <w:r>
              <w:rPr>
                <w:lang w:val="es-ES_tradnl"/>
              </w:rPr>
              <w:t>Etymologie du mot épigramme</w:t>
            </w:r>
          </w:p>
          <w:p w:rsidR="00736DDA" w:rsidRDefault="00736DDA" w:rsidP="0046643E">
            <w:pPr>
              <w:pStyle w:val="TableContents"/>
            </w:pPr>
            <w:r>
              <w:t>Rideo, carmen, ars</w:t>
            </w:r>
          </w:p>
        </w:tc>
        <w:tc>
          <w:tcPr>
            <w:tcW w:w="2126" w:type="dxa"/>
            <w:tcBorders>
              <w:left w:val="single" w:sz="2" w:space="0" w:color="000000"/>
              <w:bottom w:val="single" w:sz="2" w:space="0" w:color="000000"/>
            </w:tcBorders>
            <w:tcMar>
              <w:top w:w="55" w:type="dxa"/>
              <w:left w:w="55" w:type="dxa"/>
              <w:bottom w:w="55" w:type="dxa"/>
              <w:right w:w="55" w:type="dxa"/>
            </w:tcMar>
          </w:tcPr>
          <w:p w:rsidR="008B7D1D" w:rsidRDefault="00736DDA" w:rsidP="0046643E">
            <w:pPr>
              <w:pStyle w:val="TableContents"/>
            </w:pPr>
            <w:r>
              <w:t>La satire sous l’Empire</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8B7D1D" w:rsidRDefault="00736DDA" w:rsidP="0046643E">
            <w:pPr>
              <w:pStyle w:val="TableContents"/>
            </w:pPr>
            <w:r>
              <w:t>1</w:t>
            </w:r>
            <w:r w:rsidRPr="00736DDA">
              <w:rPr>
                <w:vertAlign w:val="superscript"/>
              </w:rPr>
              <w:t>e</w:t>
            </w:r>
            <w:r>
              <w:t xml:space="preserve"> heure : </w:t>
            </w:r>
            <w:r w:rsidR="008B7D1D">
              <w:t xml:space="preserve">Traduction </w:t>
            </w:r>
            <w:r>
              <w:t>des épigrammes II, 58 / IV, 24 / IV, 41 / IV, 43</w:t>
            </w:r>
          </w:p>
          <w:p w:rsidR="00736DDA" w:rsidRDefault="00736DDA" w:rsidP="0046643E">
            <w:pPr>
              <w:pStyle w:val="TableContents"/>
            </w:pPr>
            <w:r>
              <w:t>Pour la séance suivante : mémoriser une épigramme au choix</w:t>
            </w:r>
          </w:p>
          <w:p w:rsidR="00736DDA" w:rsidRDefault="00736DDA" w:rsidP="0046643E">
            <w:pPr>
              <w:pStyle w:val="TableContents"/>
            </w:pPr>
            <w:r>
              <w:t>2</w:t>
            </w:r>
            <w:r w:rsidRPr="00736DDA">
              <w:rPr>
                <w:vertAlign w:val="superscript"/>
              </w:rPr>
              <w:t>e</w:t>
            </w:r>
            <w:r>
              <w:t xml:space="preserve"> heure : Lecture analytique de II, 7 (texte proposé avec sa traduction)</w:t>
            </w:r>
          </w:p>
          <w:p w:rsidR="00736DDA" w:rsidRDefault="00736DDA" w:rsidP="0046643E">
            <w:pPr>
              <w:pStyle w:val="TableContents"/>
            </w:pPr>
            <w:r>
              <w:t xml:space="preserve">Notions abordées : répétitions, chute ou pointe, </w:t>
            </w:r>
            <w:r w:rsidR="00B03CAA">
              <w:t>attaque ad hominem vs types</w:t>
            </w:r>
          </w:p>
          <w:p w:rsidR="00736DDA" w:rsidRDefault="00736DDA" w:rsidP="0046643E">
            <w:pPr>
              <w:pStyle w:val="TableContents"/>
            </w:pPr>
          </w:p>
          <w:p w:rsidR="008B7D1D" w:rsidRDefault="008B7D1D" w:rsidP="0046643E">
            <w:pPr>
              <w:pStyle w:val="TableContents"/>
            </w:pPr>
          </w:p>
          <w:p w:rsidR="008B7D1D" w:rsidRDefault="008B7D1D" w:rsidP="0046643E">
            <w:pPr>
              <w:pStyle w:val="TableContents"/>
            </w:pPr>
          </w:p>
          <w:p w:rsidR="008B7D1D" w:rsidRDefault="008B7D1D" w:rsidP="0046643E">
            <w:pPr>
              <w:pStyle w:val="TableContents"/>
            </w:pPr>
          </w:p>
          <w:p w:rsidR="008B7D1D" w:rsidRDefault="008B7D1D" w:rsidP="0046643E">
            <w:pPr>
              <w:pStyle w:val="TableContents"/>
            </w:pPr>
          </w:p>
          <w:p w:rsidR="008B7D1D" w:rsidRDefault="008B7D1D" w:rsidP="0046643E">
            <w:pPr>
              <w:pStyle w:val="TableContents"/>
            </w:pPr>
          </w:p>
          <w:p w:rsidR="008B7D1D" w:rsidRDefault="008B7D1D" w:rsidP="0046643E">
            <w:pPr>
              <w:pStyle w:val="TableContents"/>
            </w:pPr>
          </w:p>
        </w:tc>
      </w:tr>
      <w:tr w:rsidR="008B7D1D" w:rsidTr="0046643E">
        <w:tc>
          <w:tcPr>
            <w:tcW w:w="16302" w:type="dxa"/>
            <w:gridSpan w:val="6"/>
            <w:tcBorders>
              <w:bottom w:val="single" w:sz="2" w:space="0" w:color="000000"/>
              <w:right w:val="single" w:sz="2" w:space="0" w:color="000000"/>
            </w:tcBorders>
            <w:shd w:val="clear" w:color="auto" w:fill="C6D9F1" w:themeFill="text2" w:themeFillTint="33"/>
            <w:tcMar>
              <w:top w:w="55" w:type="dxa"/>
              <w:left w:w="55" w:type="dxa"/>
              <w:bottom w:w="55" w:type="dxa"/>
              <w:right w:w="55" w:type="dxa"/>
            </w:tcMar>
          </w:tcPr>
          <w:p w:rsidR="008B7D1D" w:rsidRDefault="00B03CAA" w:rsidP="0046643E">
            <w:pPr>
              <w:pStyle w:val="TableContents"/>
              <w:jc w:val="center"/>
              <w:rPr>
                <w:b/>
                <w:color w:val="FF0000"/>
                <w:u w:val="single"/>
              </w:rPr>
            </w:pPr>
            <w:r>
              <w:rPr>
                <w:b/>
                <w:color w:val="FF0000"/>
                <w:u w:val="single"/>
              </w:rPr>
              <w:t>Un esclave insolent ? (3h)</w:t>
            </w:r>
          </w:p>
          <w:p w:rsidR="008B7D1D" w:rsidRPr="000D65AF" w:rsidRDefault="008B7D1D" w:rsidP="0046643E">
            <w:pPr>
              <w:pStyle w:val="TableContents"/>
              <w:jc w:val="center"/>
              <w:rPr>
                <w:u w:val="single"/>
              </w:rPr>
            </w:pPr>
          </w:p>
        </w:tc>
      </w:tr>
      <w:tr w:rsidR="008B7D1D" w:rsidTr="00ED1EF7">
        <w:tc>
          <w:tcPr>
            <w:tcW w:w="3403" w:type="dxa"/>
            <w:tcBorders>
              <w:bottom w:val="single" w:sz="2" w:space="0" w:color="000000"/>
            </w:tcBorders>
            <w:tcMar>
              <w:top w:w="55" w:type="dxa"/>
              <w:left w:w="55" w:type="dxa"/>
              <w:bottom w:w="55" w:type="dxa"/>
              <w:right w:w="55" w:type="dxa"/>
            </w:tcMar>
          </w:tcPr>
          <w:p w:rsidR="008B7D1D" w:rsidRDefault="007F4E14" w:rsidP="0046643E">
            <w:pPr>
              <w:pStyle w:val="TableContents"/>
            </w:pPr>
            <w:r w:rsidRPr="00372515">
              <w:rPr>
                <w:b/>
              </w:rPr>
              <w:t>Texte latin </w:t>
            </w:r>
            <w:r w:rsidR="00372515">
              <w:rPr>
                <w:b/>
              </w:rPr>
              <w:t>proposé en lecture analytique</w:t>
            </w:r>
            <w:r w:rsidRPr="00372515">
              <w:rPr>
                <w:b/>
              </w:rPr>
              <w:t>:</w:t>
            </w:r>
            <w:r>
              <w:t xml:space="preserve"> Horace, </w:t>
            </w:r>
            <w:r w:rsidRPr="00372515">
              <w:rPr>
                <w:i/>
              </w:rPr>
              <w:t>Satires</w:t>
            </w:r>
            <w:r>
              <w:t>, II, 7</w:t>
            </w:r>
          </w:p>
          <w:p w:rsidR="007F4E14" w:rsidRDefault="007F4E14" w:rsidP="0046643E">
            <w:pPr>
              <w:pStyle w:val="TableContents"/>
            </w:pPr>
          </w:p>
          <w:p w:rsidR="007F4E14" w:rsidRPr="00372515" w:rsidRDefault="007F4E14" w:rsidP="0046643E">
            <w:pPr>
              <w:pStyle w:val="TableContents"/>
              <w:rPr>
                <w:b/>
              </w:rPr>
            </w:pPr>
            <w:r w:rsidRPr="00372515">
              <w:rPr>
                <w:b/>
              </w:rPr>
              <w:t>Corpus :</w:t>
            </w:r>
          </w:p>
          <w:p w:rsidR="007F4E14" w:rsidRDefault="007F4E14" w:rsidP="0046643E">
            <w:pPr>
              <w:pStyle w:val="TableContents"/>
            </w:pPr>
            <w:r>
              <w:t xml:space="preserve">Texte latin : Plaute, </w:t>
            </w:r>
            <w:r w:rsidRPr="00372515">
              <w:rPr>
                <w:i/>
              </w:rPr>
              <w:t>Aulularia</w:t>
            </w:r>
            <w:r w:rsidR="00372515">
              <w:t>, IV, 5</w:t>
            </w:r>
          </w:p>
          <w:p w:rsidR="007F4E14" w:rsidRDefault="007F4E14" w:rsidP="0046643E">
            <w:pPr>
              <w:pStyle w:val="TableContents"/>
            </w:pPr>
            <w:r>
              <w:t xml:space="preserve">Texte grec : Aristophane, </w:t>
            </w:r>
            <w:r w:rsidRPr="00372515">
              <w:rPr>
                <w:i/>
              </w:rPr>
              <w:t>Ploutos</w:t>
            </w:r>
            <w:r>
              <w:t xml:space="preserve">, </w:t>
            </w:r>
            <w:r w:rsidR="00372515">
              <w:t>tirade inaugurale de l’esclave Carion</w:t>
            </w:r>
          </w:p>
          <w:p w:rsidR="007F4E14" w:rsidRDefault="007F4E14" w:rsidP="0046643E">
            <w:pPr>
              <w:pStyle w:val="TableContents"/>
            </w:pPr>
            <w:r>
              <w:t>Textes français : Molière, L’Avare, I, 3</w:t>
            </w:r>
          </w:p>
          <w:p w:rsidR="007F4E14" w:rsidRDefault="007F4E14" w:rsidP="0046643E">
            <w:pPr>
              <w:pStyle w:val="TableContents"/>
            </w:pPr>
            <w:r>
              <w:t>Marivaux, L’île des esclaves, I, 1</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8B7D1D" w:rsidRDefault="00040A97" w:rsidP="0046643E">
            <w:pPr>
              <w:pStyle w:val="TableContents"/>
            </w:pPr>
            <w:r>
              <w:rPr>
                <w:noProof/>
                <w:lang w:eastAsia="fr-FR" w:bidi="ar-SA"/>
              </w:rPr>
              <w:pict>
                <v:shapetype id="_x0000_t32" coordsize="21600,21600" o:spt="32" o:oned="t" path="m,l21600,21600e" filled="f">
                  <v:path arrowok="t" fillok="f" o:connecttype="none"/>
                  <o:lock v:ext="edit" shapetype="t"/>
                </v:shapetype>
                <v:shape id="_x0000_s1026" type="#_x0000_t32" style="position:absolute;margin-left:15.9pt;margin-top:24.4pt;width:.05pt;height:.05pt;z-index:251660288;mso-position-horizontal-relative:text;mso-position-vertical-relative:text" o:connectortype="straight"/>
              </w:pict>
            </w:r>
            <w:r w:rsidR="007F4E14">
              <w:t>G. Oury, La folie des grandeurs, 1971</w:t>
            </w:r>
          </w:p>
          <w:p w:rsidR="007F4E14" w:rsidRDefault="007F4E14" w:rsidP="0046643E">
            <w:pPr>
              <w:pStyle w:val="TableContents"/>
            </w:pPr>
            <w:r>
              <w:t>Tuto Gallo du Musée de Saint Romain en Gal sur les Saturnales</w:t>
            </w:r>
          </w:p>
        </w:tc>
        <w:tc>
          <w:tcPr>
            <w:tcW w:w="2126" w:type="dxa"/>
            <w:tcBorders>
              <w:left w:val="single" w:sz="2" w:space="0" w:color="000000"/>
              <w:bottom w:val="single" w:sz="2" w:space="0" w:color="000000"/>
            </w:tcBorders>
            <w:tcMar>
              <w:top w:w="55" w:type="dxa"/>
              <w:left w:w="55" w:type="dxa"/>
              <w:bottom w:w="55" w:type="dxa"/>
              <w:right w:w="55" w:type="dxa"/>
            </w:tcMar>
          </w:tcPr>
          <w:p w:rsidR="008B7D1D" w:rsidRDefault="007F4E14" w:rsidP="0046643E">
            <w:pPr>
              <w:pStyle w:val="TableContents"/>
            </w:pPr>
            <w:r>
              <w:t>Pas d’étude grammaticale (séance consacrée à l’initiation au commentaire)</w:t>
            </w:r>
          </w:p>
        </w:tc>
        <w:tc>
          <w:tcPr>
            <w:tcW w:w="2410" w:type="dxa"/>
            <w:tcBorders>
              <w:left w:val="single" w:sz="2" w:space="0" w:color="000000"/>
              <w:bottom w:val="single" w:sz="2" w:space="0" w:color="000000"/>
            </w:tcBorders>
            <w:tcMar>
              <w:top w:w="55" w:type="dxa"/>
              <w:left w:w="55" w:type="dxa"/>
              <w:bottom w:w="55" w:type="dxa"/>
              <w:right w:w="55" w:type="dxa"/>
            </w:tcMar>
          </w:tcPr>
          <w:p w:rsidR="008B7D1D" w:rsidRPr="00E15567" w:rsidRDefault="00372515" w:rsidP="0046643E">
            <w:pPr>
              <w:pStyle w:val="TableContents"/>
            </w:pPr>
            <w:r>
              <w:t>Laudare, mos maiorum, optare, rusticus, ferre / praeferre</w:t>
            </w:r>
          </w:p>
        </w:tc>
        <w:tc>
          <w:tcPr>
            <w:tcW w:w="2126" w:type="dxa"/>
            <w:tcBorders>
              <w:left w:val="single" w:sz="2" w:space="0" w:color="000000"/>
              <w:bottom w:val="single" w:sz="2" w:space="0" w:color="000000"/>
            </w:tcBorders>
            <w:tcMar>
              <w:top w:w="55" w:type="dxa"/>
              <w:left w:w="55" w:type="dxa"/>
              <w:bottom w:w="55" w:type="dxa"/>
              <w:right w:w="55" w:type="dxa"/>
            </w:tcMar>
          </w:tcPr>
          <w:p w:rsidR="008B7D1D" w:rsidRDefault="00372515" w:rsidP="0046643E">
            <w:pPr>
              <w:pStyle w:val="TableContents"/>
            </w:pPr>
            <w:r>
              <w:t>Mécène et le principat d’Auguste</w:t>
            </w:r>
          </w:p>
          <w:p w:rsidR="00372515" w:rsidRDefault="00372515" w:rsidP="0046643E">
            <w:pPr>
              <w:pStyle w:val="TableContents"/>
            </w:pPr>
            <w:r>
              <w:t>La vie quotidienne des Romains (clientélisme, repas et parasites)</w:t>
            </w:r>
          </w:p>
          <w:p w:rsidR="00372515" w:rsidRDefault="00372515" w:rsidP="0046643E">
            <w:pPr>
              <w:pStyle w:val="TableContents"/>
            </w:pPr>
            <w:r>
              <w:t>Les Saturnales</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8B7D1D" w:rsidRDefault="00372515" w:rsidP="0046643E">
            <w:pPr>
              <w:pStyle w:val="TableContents"/>
            </w:pPr>
            <w:r>
              <w:t>Traduction par groupes de 3 passages du texte</w:t>
            </w:r>
          </w:p>
          <w:p w:rsidR="00372515" w:rsidRDefault="00372515" w:rsidP="0046643E">
            <w:pPr>
              <w:pStyle w:val="TableContents"/>
            </w:pPr>
            <w:r>
              <w:t>Comparaison entre la traduction des élèves et 3 traductions savantes</w:t>
            </w:r>
          </w:p>
          <w:p w:rsidR="00372515" w:rsidRDefault="00372515" w:rsidP="0046643E">
            <w:pPr>
              <w:pStyle w:val="TableContents"/>
            </w:pPr>
            <w:r>
              <w:t>Lecture analytique</w:t>
            </w:r>
          </w:p>
          <w:p w:rsidR="00372515" w:rsidRDefault="00372515" w:rsidP="0046643E">
            <w:pPr>
              <w:pStyle w:val="TableContents"/>
            </w:pPr>
            <w:r>
              <w:t>Exercice d’initiation au commentaire</w:t>
            </w:r>
          </w:p>
        </w:tc>
      </w:tr>
      <w:tr w:rsidR="008B7D1D" w:rsidTr="0046643E">
        <w:tc>
          <w:tcPr>
            <w:tcW w:w="16302" w:type="dxa"/>
            <w:gridSpan w:val="6"/>
            <w:tcBorders>
              <w:bottom w:val="single" w:sz="2" w:space="0" w:color="000000"/>
              <w:right w:val="single" w:sz="2" w:space="0" w:color="000000"/>
            </w:tcBorders>
            <w:shd w:val="clear" w:color="auto" w:fill="C6D9F1" w:themeFill="text2" w:themeFillTint="33"/>
            <w:tcMar>
              <w:top w:w="55" w:type="dxa"/>
              <w:left w:w="55" w:type="dxa"/>
              <w:bottom w:w="55" w:type="dxa"/>
              <w:right w:w="55" w:type="dxa"/>
            </w:tcMar>
          </w:tcPr>
          <w:p w:rsidR="008B7D1D" w:rsidRDefault="00372515" w:rsidP="0046643E">
            <w:pPr>
              <w:pStyle w:val="TableContents"/>
              <w:jc w:val="center"/>
              <w:rPr>
                <w:b/>
                <w:color w:val="FF0000"/>
                <w:u w:val="single"/>
              </w:rPr>
            </w:pPr>
            <w:r>
              <w:rPr>
                <w:b/>
                <w:color w:val="FF0000"/>
                <w:u w:val="single"/>
              </w:rPr>
              <w:lastRenderedPageBreak/>
              <w:t>Aristophane, féministe avant l’heure ? (2h)</w:t>
            </w:r>
          </w:p>
          <w:p w:rsidR="008B7D1D" w:rsidRDefault="008B7D1D" w:rsidP="0046643E">
            <w:pPr>
              <w:pStyle w:val="TableContents"/>
              <w:jc w:val="center"/>
            </w:pPr>
          </w:p>
        </w:tc>
      </w:tr>
      <w:tr w:rsidR="008B7D1D" w:rsidTr="00ED1EF7">
        <w:tc>
          <w:tcPr>
            <w:tcW w:w="3403" w:type="dxa"/>
            <w:tcBorders>
              <w:bottom w:val="single" w:sz="2" w:space="0" w:color="000000"/>
            </w:tcBorders>
            <w:tcMar>
              <w:top w:w="55" w:type="dxa"/>
              <w:left w:w="55" w:type="dxa"/>
              <w:bottom w:w="55" w:type="dxa"/>
              <w:right w:w="55" w:type="dxa"/>
            </w:tcMar>
          </w:tcPr>
          <w:p w:rsidR="00372515" w:rsidRPr="00372515" w:rsidRDefault="00372515" w:rsidP="0046643E">
            <w:pPr>
              <w:pStyle w:val="TableContents"/>
              <w:rPr>
                <w:b/>
              </w:rPr>
            </w:pPr>
            <w:r w:rsidRPr="00372515">
              <w:rPr>
                <w:b/>
              </w:rPr>
              <w:t xml:space="preserve">Texte grec proposé en lecture analytique: </w:t>
            </w:r>
          </w:p>
          <w:p w:rsidR="008B7D1D" w:rsidRDefault="00372515" w:rsidP="0046643E">
            <w:pPr>
              <w:pStyle w:val="TableContents"/>
            </w:pPr>
            <w:r>
              <w:t xml:space="preserve">Aristophane, </w:t>
            </w:r>
            <w:r w:rsidRPr="00372515">
              <w:rPr>
                <w:i/>
              </w:rPr>
              <w:t>Lysistrata</w:t>
            </w:r>
            <w:r>
              <w:t>, v. 871-907</w:t>
            </w:r>
          </w:p>
          <w:p w:rsidR="00372515" w:rsidRDefault="00372515" w:rsidP="0046643E">
            <w:pPr>
              <w:pStyle w:val="TableContents"/>
            </w:pPr>
          </w:p>
          <w:p w:rsidR="00372515" w:rsidRDefault="009B4B86" w:rsidP="0046643E">
            <w:pPr>
              <w:pStyle w:val="TableContents"/>
              <w:rPr>
                <w:b/>
              </w:rPr>
            </w:pPr>
            <w:r>
              <w:rPr>
                <w:b/>
              </w:rPr>
              <w:t>Réécritures</w:t>
            </w:r>
            <w:r w:rsidRPr="009B4B86">
              <w:rPr>
                <w:b/>
              </w:rPr>
              <w:t xml:space="preserve"> contemporaines d’Aristophane :</w:t>
            </w:r>
          </w:p>
          <w:p w:rsidR="009B4B86" w:rsidRDefault="009B4B86" w:rsidP="0046643E">
            <w:pPr>
              <w:pStyle w:val="TableContents"/>
            </w:pPr>
            <w:r>
              <w:t xml:space="preserve">Bernard Chartreux, </w:t>
            </w:r>
            <w:r w:rsidRPr="009B4B86">
              <w:rPr>
                <w:i/>
              </w:rPr>
              <w:t>Cité des oiseaux</w:t>
            </w:r>
            <w:r>
              <w:t>, 1989</w:t>
            </w:r>
          </w:p>
          <w:p w:rsidR="009B4B86" w:rsidRPr="009B4B86" w:rsidRDefault="009B4B86" w:rsidP="0046643E">
            <w:pPr>
              <w:pStyle w:val="TableContents"/>
            </w:pPr>
            <w:r>
              <w:t xml:space="preserve">Serge Valletti, introduction à </w:t>
            </w:r>
            <w:r w:rsidRPr="009B4B86">
              <w:rPr>
                <w:i/>
              </w:rPr>
              <w:t>Cauchemar d’homme</w:t>
            </w:r>
            <w:r>
              <w:t xml:space="preserve">, adaptation de </w:t>
            </w:r>
            <w:r w:rsidRPr="009B4B86">
              <w:rPr>
                <w:i/>
              </w:rPr>
              <w:t>L’assemblée des femmes</w:t>
            </w:r>
            <w:r>
              <w:t xml:space="preserve">, in </w:t>
            </w:r>
            <w:r w:rsidRPr="009B4B86">
              <w:rPr>
                <w:i/>
              </w:rPr>
              <w:t>Toutaristophane</w:t>
            </w:r>
            <w:r>
              <w:t>, tome I, 2012</w:t>
            </w:r>
          </w:p>
          <w:p w:rsidR="009B4B86" w:rsidRDefault="009B4B86" w:rsidP="0046643E">
            <w:pPr>
              <w:pStyle w:val="TableContents"/>
            </w:pPr>
          </w:p>
          <w:p w:rsidR="008B7D1D" w:rsidRDefault="008B7D1D" w:rsidP="0046643E">
            <w:pPr>
              <w:pStyle w:val="TableContents"/>
            </w:pPr>
          </w:p>
          <w:p w:rsidR="008B7D1D" w:rsidRDefault="008B7D1D" w:rsidP="0046643E">
            <w:pPr>
              <w:pStyle w:val="TableContents"/>
            </w:pPr>
          </w:p>
          <w:p w:rsidR="008B7D1D" w:rsidRDefault="008B7D1D" w:rsidP="0046643E">
            <w:pPr>
              <w:pStyle w:val="TableContents"/>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8B7D1D" w:rsidRDefault="009B4B86" w:rsidP="0046643E">
            <w:pPr>
              <w:pStyle w:val="TableContents"/>
            </w:pPr>
            <w:r>
              <w:t xml:space="preserve">Affiches contemporaines pour des représentations de </w:t>
            </w:r>
            <w:r w:rsidRPr="009B4B86">
              <w:rPr>
                <w:i/>
              </w:rPr>
              <w:t>Lysistrata</w:t>
            </w:r>
          </w:p>
        </w:tc>
        <w:tc>
          <w:tcPr>
            <w:tcW w:w="2126" w:type="dxa"/>
            <w:tcBorders>
              <w:left w:val="single" w:sz="2" w:space="0" w:color="000000"/>
              <w:bottom w:val="single" w:sz="2" w:space="0" w:color="000000"/>
            </w:tcBorders>
            <w:tcMar>
              <w:top w:w="55" w:type="dxa"/>
              <w:left w:w="55" w:type="dxa"/>
              <w:bottom w:w="55" w:type="dxa"/>
              <w:right w:w="55" w:type="dxa"/>
            </w:tcMar>
          </w:tcPr>
          <w:p w:rsidR="008B7D1D" w:rsidRDefault="00ED1EF7" w:rsidP="0046643E">
            <w:pPr>
              <w:pStyle w:val="TableContents"/>
            </w:pPr>
            <w:r>
              <w:t>Le génitif absolu</w:t>
            </w:r>
          </w:p>
          <w:p w:rsidR="008B7D1D" w:rsidRDefault="008B7D1D" w:rsidP="0046643E">
            <w:pPr>
              <w:pStyle w:val="TableContents"/>
            </w:pPr>
          </w:p>
          <w:p w:rsidR="008B7D1D" w:rsidRDefault="008B7D1D" w:rsidP="0046643E">
            <w:pPr>
              <w:pStyle w:val="TableContents"/>
            </w:pPr>
          </w:p>
          <w:p w:rsidR="008B7D1D" w:rsidRDefault="008B7D1D" w:rsidP="0046643E">
            <w:pPr>
              <w:pStyle w:val="TableContents"/>
            </w:pPr>
          </w:p>
          <w:p w:rsidR="008B7D1D" w:rsidRDefault="008B7D1D" w:rsidP="0046643E">
            <w:pPr>
              <w:pStyle w:val="TableContents"/>
            </w:pPr>
          </w:p>
          <w:p w:rsidR="008B7D1D" w:rsidRDefault="008B7D1D" w:rsidP="0046643E">
            <w:pPr>
              <w:pStyle w:val="TableContents"/>
            </w:pPr>
          </w:p>
        </w:tc>
        <w:tc>
          <w:tcPr>
            <w:tcW w:w="2410" w:type="dxa"/>
            <w:tcBorders>
              <w:left w:val="single" w:sz="2" w:space="0" w:color="000000"/>
              <w:bottom w:val="single" w:sz="2" w:space="0" w:color="000000"/>
            </w:tcBorders>
            <w:tcMar>
              <w:top w:w="55" w:type="dxa"/>
              <w:left w:w="55" w:type="dxa"/>
              <w:bottom w:w="55" w:type="dxa"/>
              <w:right w:w="55" w:type="dxa"/>
            </w:tcMar>
          </w:tcPr>
          <w:p w:rsidR="008B7D1D" w:rsidRDefault="00ED1EF7" w:rsidP="0046643E">
            <w:pPr>
              <w:pStyle w:val="TableContents"/>
              <w:rPr>
                <w:rFonts w:ascii="Greek" w:hAnsi="Greek" w:cs="Liberation Serif"/>
              </w:rPr>
            </w:pPr>
            <w:r>
              <w:rPr>
                <w:rFonts w:ascii="Greek" w:hAnsi="Greek" w:cs="Liberation Serif"/>
              </w:rPr>
              <w:t>¹ gun», Ð pa</w:t>
            </w:r>
            <w:r w:rsidR="008E35E9">
              <w:rPr>
                <w:rFonts w:ascii="Greek" w:hAnsi="Greek" w:cs="Liberation Serif"/>
              </w:rPr>
              <w:t>‹j, dšomai, p£scw, tÕ p£qoj, Ð pÒlemoj, filî</w:t>
            </w:r>
          </w:p>
          <w:p w:rsidR="008B7D1D" w:rsidRDefault="008B7D1D" w:rsidP="0046643E">
            <w:pPr>
              <w:pStyle w:val="TableContents"/>
              <w:rPr>
                <w:rFonts w:ascii="Greek" w:hAnsi="Greek" w:cs="Liberation Serif"/>
              </w:rPr>
            </w:pPr>
          </w:p>
          <w:p w:rsidR="008B7D1D" w:rsidRPr="00A24AD1" w:rsidRDefault="008B7D1D" w:rsidP="0046643E">
            <w:pPr>
              <w:pStyle w:val="TableContents"/>
              <w:rPr>
                <w:rFonts w:ascii="Greek" w:hAnsi="Greek" w:cs="Liberation Serif"/>
              </w:rPr>
            </w:pPr>
          </w:p>
        </w:tc>
        <w:tc>
          <w:tcPr>
            <w:tcW w:w="2126" w:type="dxa"/>
            <w:tcBorders>
              <w:left w:val="single" w:sz="2" w:space="0" w:color="000000"/>
              <w:bottom w:val="single" w:sz="2" w:space="0" w:color="000000"/>
            </w:tcBorders>
            <w:tcMar>
              <w:top w:w="55" w:type="dxa"/>
              <w:left w:w="55" w:type="dxa"/>
              <w:bottom w:w="55" w:type="dxa"/>
              <w:right w:w="55" w:type="dxa"/>
            </w:tcMar>
          </w:tcPr>
          <w:p w:rsidR="008B7D1D" w:rsidRDefault="008E35E9" w:rsidP="0046643E">
            <w:pPr>
              <w:pStyle w:val="TableContents"/>
            </w:pPr>
            <w:r>
              <w:t>La condition féminine dans l’Antiquité</w:t>
            </w:r>
          </w:p>
          <w:p w:rsidR="008B7D1D" w:rsidRDefault="008B7D1D" w:rsidP="0046643E">
            <w:pPr>
              <w:pStyle w:val="TableContents"/>
            </w:pPr>
          </w:p>
          <w:p w:rsidR="008B7D1D" w:rsidRDefault="008B7D1D" w:rsidP="0046643E">
            <w:pPr>
              <w:pStyle w:val="TableContents"/>
            </w:pP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845A66" w:rsidRDefault="00845A66" w:rsidP="00845A66">
            <w:pPr>
              <w:pStyle w:val="TableContents"/>
            </w:pPr>
            <w:r>
              <w:t>Traduction des v. 874 à 876 (repérage du génitif absolu) / v. 878-880 / v. 889-890</w:t>
            </w:r>
          </w:p>
          <w:p w:rsidR="008B7D1D" w:rsidRPr="007A0EC5" w:rsidRDefault="00845A66" w:rsidP="00845A66">
            <w:pPr>
              <w:pStyle w:val="TableContents"/>
            </w:pPr>
            <w:r>
              <w:t xml:space="preserve">Lecture analytique </w:t>
            </w:r>
          </w:p>
        </w:tc>
      </w:tr>
      <w:tr w:rsidR="008B7D1D" w:rsidTr="0046643E">
        <w:tc>
          <w:tcPr>
            <w:tcW w:w="16302" w:type="dxa"/>
            <w:gridSpan w:val="6"/>
            <w:tcBorders>
              <w:left w:val="single" w:sz="2" w:space="0" w:color="000000"/>
              <w:bottom w:val="single" w:sz="2" w:space="0" w:color="000000"/>
              <w:right w:val="single" w:sz="2" w:space="0" w:color="000000"/>
            </w:tcBorders>
            <w:shd w:val="clear" w:color="auto" w:fill="C6D9F1" w:themeFill="text2" w:themeFillTint="33"/>
          </w:tcPr>
          <w:p w:rsidR="008B7D1D" w:rsidRDefault="008B7D1D" w:rsidP="0046643E">
            <w:pPr>
              <w:pStyle w:val="TableContents"/>
              <w:jc w:val="center"/>
              <w:rPr>
                <w:rFonts w:cs="Liberation Serif"/>
                <w:b/>
                <w:color w:val="FF0000"/>
                <w:u w:val="single"/>
              </w:rPr>
            </w:pPr>
            <w:r w:rsidRPr="000D65AF">
              <w:rPr>
                <w:rFonts w:cs="Liberation Serif"/>
                <w:b/>
                <w:color w:val="FF0000"/>
                <w:u w:val="single"/>
              </w:rPr>
              <w:t>Evaluation finale de la séquence</w:t>
            </w:r>
          </w:p>
          <w:p w:rsidR="008B7D1D" w:rsidRPr="000D65AF" w:rsidRDefault="008B7D1D" w:rsidP="0046643E">
            <w:pPr>
              <w:pStyle w:val="TableContents"/>
              <w:jc w:val="center"/>
              <w:rPr>
                <w:rFonts w:cs="Liberation Serif"/>
                <w:b/>
                <w:color w:val="FF0000"/>
                <w:u w:val="single"/>
              </w:rPr>
            </w:pPr>
          </w:p>
        </w:tc>
      </w:tr>
    </w:tbl>
    <w:p w:rsidR="008B7D1D" w:rsidRDefault="008B7D1D"/>
    <w:sectPr w:rsidR="008B7D1D" w:rsidSect="008B7D1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F57" w:rsidRDefault="006F4F57" w:rsidP="008B7D1D">
      <w:pPr>
        <w:spacing w:after="0" w:line="240" w:lineRule="auto"/>
      </w:pPr>
      <w:r>
        <w:separator/>
      </w:r>
    </w:p>
  </w:endnote>
  <w:endnote w:type="continuationSeparator" w:id="1">
    <w:p w:rsidR="006F4F57" w:rsidRDefault="006F4F57" w:rsidP="008B7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nformal Roman">
    <w:panose1 w:val="030604020304060B02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reek">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F57" w:rsidRDefault="006F4F57" w:rsidP="008B7D1D">
      <w:pPr>
        <w:spacing w:after="0" w:line="240" w:lineRule="auto"/>
      </w:pPr>
      <w:r>
        <w:separator/>
      </w:r>
    </w:p>
  </w:footnote>
  <w:footnote w:type="continuationSeparator" w:id="1">
    <w:p w:rsidR="006F4F57" w:rsidRDefault="006F4F57" w:rsidP="008B7D1D">
      <w:pPr>
        <w:spacing w:after="0" w:line="240" w:lineRule="auto"/>
      </w:pPr>
      <w:r>
        <w:continuationSeparator/>
      </w:r>
    </w:p>
  </w:footnote>
  <w:footnote w:id="2">
    <w:p w:rsidR="008B7D1D" w:rsidRDefault="008B7D1D" w:rsidP="008B7D1D">
      <w:pPr>
        <w:pStyle w:val="Notedebasdepage"/>
      </w:pPr>
      <w:r>
        <w:rPr>
          <w:rStyle w:val="Appelnotedebasdep"/>
        </w:rPr>
        <w:footnoteRef/>
      </w:r>
      <w:r>
        <w:t xml:space="preserve"> Le lexique est reporté dans un répertoire spécifique, classé à partir du mot en français, avec ses correspondants latins et grecs.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79C"/>
    <w:multiLevelType w:val="hybridMultilevel"/>
    <w:tmpl w:val="75C81E18"/>
    <w:lvl w:ilvl="0" w:tplc="B3123A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7D1D"/>
    <w:rsid w:val="00040A97"/>
    <w:rsid w:val="00142387"/>
    <w:rsid w:val="00200CC7"/>
    <w:rsid w:val="00372515"/>
    <w:rsid w:val="00402A05"/>
    <w:rsid w:val="006F4F57"/>
    <w:rsid w:val="00736DDA"/>
    <w:rsid w:val="007F4E14"/>
    <w:rsid w:val="00845A66"/>
    <w:rsid w:val="00856C82"/>
    <w:rsid w:val="008B7D1D"/>
    <w:rsid w:val="008E35E9"/>
    <w:rsid w:val="009B4B86"/>
    <w:rsid w:val="00B03CAA"/>
    <w:rsid w:val="00B20C39"/>
    <w:rsid w:val="00E551D8"/>
    <w:rsid w:val="00ED1E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B7D1D"/>
    <w:pPr>
      <w:spacing w:after="0" w:line="240" w:lineRule="auto"/>
    </w:pPr>
  </w:style>
  <w:style w:type="paragraph" w:customStyle="1" w:styleId="TableContents">
    <w:name w:val="Table Contents"/>
    <w:basedOn w:val="Normal"/>
    <w:rsid w:val="008B7D1D"/>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tedebasdepage">
    <w:name w:val="footnote text"/>
    <w:basedOn w:val="Normal"/>
    <w:link w:val="NotedebasdepageCar"/>
    <w:uiPriority w:val="99"/>
    <w:semiHidden/>
    <w:unhideWhenUsed/>
    <w:rsid w:val="008B7D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7D1D"/>
    <w:rPr>
      <w:sz w:val="20"/>
      <w:szCs w:val="20"/>
    </w:rPr>
  </w:style>
  <w:style w:type="character" w:styleId="Appelnotedebasdep">
    <w:name w:val="footnote reference"/>
    <w:basedOn w:val="Policepardfaut"/>
    <w:uiPriority w:val="99"/>
    <w:semiHidden/>
    <w:unhideWhenUsed/>
    <w:rsid w:val="008B7D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2019-01-19T09:25:00Z</dcterms:created>
  <dcterms:modified xsi:type="dcterms:W3CDTF">2019-01-23T09:53:00Z</dcterms:modified>
</cp:coreProperties>
</file>