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F58" w:rsidRPr="00274F58" w:rsidRDefault="00274F58" w:rsidP="00274F58">
      <w:pPr>
        <w:rPr>
          <w:u w:val="single"/>
        </w:rPr>
      </w:pPr>
      <w:bookmarkStart w:id="0" w:name="_GoBack"/>
      <w:bookmarkEnd w:id="0"/>
      <w:r>
        <w:rPr>
          <w:b/>
          <w:u w:val="single"/>
        </w:rPr>
        <w:t>Histoire géographie EMC</w:t>
      </w:r>
    </w:p>
    <w:tbl>
      <w:tblPr>
        <w:tblStyle w:val="Grilledutableau"/>
        <w:tblW w:w="15188" w:type="dxa"/>
        <w:jc w:val="center"/>
        <w:tblLook w:val="04A0" w:firstRow="1" w:lastRow="0" w:firstColumn="1" w:lastColumn="0" w:noHBand="0" w:noVBand="1"/>
      </w:tblPr>
      <w:tblGrid>
        <w:gridCol w:w="843"/>
        <w:gridCol w:w="1517"/>
        <w:gridCol w:w="3328"/>
        <w:gridCol w:w="3209"/>
        <w:gridCol w:w="3135"/>
        <w:gridCol w:w="3156"/>
      </w:tblGrid>
      <w:tr w:rsidR="00CF1980" w:rsidRPr="00274F58" w:rsidTr="009F3994">
        <w:trPr>
          <w:trHeight w:val="408"/>
          <w:jc w:val="center"/>
        </w:trPr>
        <w:tc>
          <w:tcPr>
            <w:tcW w:w="848" w:type="dxa"/>
            <w:tcBorders>
              <w:top w:val="nil"/>
              <w:left w:val="nil"/>
              <w:bottom w:val="single" w:sz="4" w:space="0" w:color="auto"/>
              <w:right w:val="nil"/>
            </w:tcBorders>
          </w:tcPr>
          <w:p w:rsidR="00274F58" w:rsidRPr="00274F58" w:rsidRDefault="00274F58" w:rsidP="00274F58">
            <w:pPr>
              <w:spacing w:after="160" w:line="259" w:lineRule="auto"/>
              <w:rPr>
                <w:b/>
              </w:rPr>
            </w:pPr>
          </w:p>
        </w:tc>
        <w:tc>
          <w:tcPr>
            <w:tcW w:w="1279" w:type="dxa"/>
            <w:tcBorders>
              <w:top w:val="nil"/>
              <w:left w:val="nil"/>
              <w:bottom w:val="single" w:sz="4" w:space="0" w:color="auto"/>
              <w:right w:val="single" w:sz="4" w:space="0" w:color="auto"/>
            </w:tcBorders>
            <w:vAlign w:val="center"/>
          </w:tcPr>
          <w:p w:rsidR="00274F58" w:rsidRPr="00274F58" w:rsidRDefault="00274F58" w:rsidP="00274F58">
            <w:pPr>
              <w:spacing w:after="160" w:line="259" w:lineRule="auto"/>
              <w:rPr>
                <w:b/>
              </w:rPr>
            </w:pPr>
          </w:p>
        </w:tc>
        <w:tc>
          <w:tcPr>
            <w:tcW w:w="3392" w:type="dxa"/>
            <w:tcBorders>
              <w:left w:val="single" w:sz="4" w:space="0" w:color="auto"/>
            </w:tcBorders>
            <w:shd w:val="clear" w:color="auto" w:fill="E7E6E6" w:themeFill="background2"/>
            <w:vAlign w:val="center"/>
          </w:tcPr>
          <w:p w:rsidR="00274F58" w:rsidRPr="00274F58" w:rsidRDefault="00274F58" w:rsidP="00274F58">
            <w:pPr>
              <w:spacing w:after="160" w:line="259" w:lineRule="auto"/>
              <w:rPr>
                <w:b/>
              </w:rPr>
            </w:pPr>
            <w:r w:rsidRPr="00274F58">
              <w:rPr>
                <w:b/>
              </w:rPr>
              <w:t>1</w:t>
            </w:r>
            <w:r w:rsidRPr="00274F58">
              <w:rPr>
                <w:b/>
                <w:vertAlign w:val="superscript"/>
              </w:rPr>
              <w:t xml:space="preserve">er </w:t>
            </w:r>
            <w:r w:rsidRPr="00274F58">
              <w:rPr>
                <w:b/>
              </w:rPr>
              <w:t>cas</w:t>
            </w:r>
          </w:p>
        </w:tc>
        <w:tc>
          <w:tcPr>
            <w:tcW w:w="6463" w:type="dxa"/>
            <w:gridSpan w:val="2"/>
            <w:shd w:val="clear" w:color="auto" w:fill="E7E6E6" w:themeFill="background2"/>
            <w:vAlign w:val="center"/>
          </w:tcPr>
          <w:p w:rsidR="00274F58" w:rsidRPr="00274F58" w:rsidRDefault="00274F58" w:rsidP="00274F58">
            <w:pPr>
              <w:spacing w:after="160" w:line="259" w:lineRule="auto"/>
              <w:rPr>
                <w:b/>
              </w:rPr>
            </w:pPr>
            <w:r w:rsidRPr="00274F58">
              <w:rPr>
                <w:b/>
              </w:rPr>
              <w:t>2</w:t>
            </w:r>
            <w:r w:rsidRPr="00274F58">
              <w:rPr>
                <w:b/>
                <w:vertAlign w:val="superscript"/>
              </w:rPr>
              <w:t>ème</w:t>
            </w:r>
            <w:r w:rsidRPr="00274F58">
              <w:rPr>
                <w:b/>
              </w:rPr>
              <w:t xml:space="preserve">  cas</w:t>
            </w:r>
          </w:p>
        </w:tc>
        <w:tc>
          <w:tcPr>
            <w:tcW w:w="3206" w:type="dxa"/>
            <w:shd w:val="clear" w:color="auto" w:fill="E7E6E6" w:themeFill="background2"/>
            <w:vAlign w:val="center"/>
          </w:tcPr>
          <w:p w:rsidR="00274F58" w:rsidRPr="00274F58" w:rsidRDefault="00274F58" w:rsidP="00274F58">
            <w:pPr>
              <w:spacing w:after="160" w:line="259" w:lineRule="auto"/>
              <w:rPr>
                <w:b/>
              </w:rPr>
            </w:pPr>
            <w:r w:rsidRPr="00274F58">
              <w:rPr>
                <w:b/>
              </w:rPr>
              <w:t>3</w:t>
            </w:r>
            <w:r w:rsidRPr="00274F58">
              <w:rPr>
                <w:b/>
                <w:vertAlign w:val="superscript"/>
              </w:rPr>
              <w:t>ème</w:t>
            </w:r>
            <w:r w:rsidRPr="00274F58">
              <w:rPr>
                <w:b/>
              </w:rPr>
              <w:t xml:space="preserve">  cas</w:t>
            </w:r>
          </w:p>
        </w:tc>
      </w:tr>
      <w:tr w:rsidR="00274F58" w:rsidRPr="00274F58" w:rsidTr="009F3994">
        <w:trPr>
          <w:trHeight w:val="1768"/>
          <w:jc w:val="center"/>
        </w:trPr>
        <w:tc>
          <w:tcPr>
            <w:tcW w:w="2127" w:type="dxa"/>
            <w:gridSpan w:val="2"/>
            <w:tcBorders>
              <w:top w:val="single" w:sz="4" w:space="0" w:color="auto"/>
            </w:tcBorders>
            <w:shd w:val="clear" w:color="auto" w:fill="E7E6E6" w:themeFill="background2"/>
            <w:vAlign w:val="center"/>
          </w:tcPr>
          <w:p w:rsidR="00274F58" w:rsidRDefault="00274F58" w:rsidP="00274F58">
            <w:pPr>
              <w:spacing w:after="160" w:line="259" w:lineRule="auto"/>
              <w:rPr>
                <w:b/>
              </w:rPr>
            </w:pPr>
            <w:r>
              <w:rPr>
                <w:b/>
              </w:rPr>
              <w:t>C</w:t>
            </w:r>
            <w:r w:rsidR="009F3994">
              <w:rPr>
                <w:b/>
              </w:rPr>
              <w:t>lasse de C</w:t>
            </w:r>
            <w:r>
              <w:rPr>
                <w:b/>
              </w:rPr>
              <w:t>AP</w:t>
            </w:r>
          </w:p>
          <w:p w:rsidR="00274F58" w:rsidRPr="009F3994" w:rsidRDefault="00274F58" w:rsidP="00274F58">
            <w:pPr>
              <w:spacing w:after="160" w:line="259" w:lineRule="auto"/>
              <w:rPr>
                <w:b/>
                <w:sz w:val="20"/>
                <w:szCs w:val="20"/>
              </w:rPr>
            </w:pPr>
            <w:r w:rsidRPr="009F3994">
              <w:rPr>
                <w:b/>
                <w:sz w:val="20"/>
                <w:szCs w:val="20"/>
              </w:rPr>
              <w:t>Nombre de situations d’évaluation par CCF réalisées avant le confinement (16/03/2020)</w:t>
            </w:r>
          </w:p>
        </w:tc>
        <w:tc>
          <w:tcPr>
            <w:tcW w:w="3392" w:type="dxa"/>
            <w:vAlign w:val="center"/>
          </w:tcPr>
          <w:p w:rsidR="00274F58" w:rsidRPr="009F3994" w:rsidRDefault="00274F58" w:rsidP="00274F58">
            <w:pPr>
              <w:spacing w:after="160" w:line="259" w:lineRule="auto"/>
              <w:rPr>
                <w:b/>
                <w:sz w:val="20"/>
                <w:szCs w:val="20"/>
              </w:rPr>
            </w:pPr>
            <w:r w:rsidRPr="009F3994">
              <w:rPr>
                <w:b/>
                <w:sz w:val="20"/>
                <w:szCs w:val="20"/>
              </w:rPr>
              <w:t>L’ensemble des situations d’évaluation d’une épreuve ou sous-épreuve prévues au règlement d’examen a été réalisée.</w:t>
            </w:r>
          </w:p>
        </w:tc>
        <w:tc>
          <w:tcPr>
            <w:tcW w:w="6463" w:type="dxa"/>
            <w:gridSpan w:val="2"/>
            <w:vAlign w:val="center"/>
          </w:tcPr>
          <w:p w:rsidR="00274F58" w:rsidRPr="009F3994" w:rsidRDefault="00274F58" w:rsidP="00274F58">
            <w:pPr>
              <w:spacing w:after="160" w:line="259" w:lineRule="auto"/>
              <w:rPr>
                <w:b/>
                <w:sz w:val="20"/>
                <w:szCs w:val="20"/>
              </w:rPr>
            </w:pPr>
            <w:r w:rsidRPr="009F3994">
              <w:rPr>
                <w:b/>
                <w:sz w:val="20"/>
                <w:szCs w:val="20"/>
              </w:rPr>
              <w:t>Une partie des situations d’évaluation d’une épreuve ou sous-épreuve prévue au règlement d’examen n’a pas été réalisée. (par exemple seuls les CCF de 2ndeCAP)</w:t>
            </w:r>
          </w:p>
        </w:tc>
        <w:tc>
          <w:tcPr>
            <w:tcW w:w="3206" w:type="dxa"/>
            <w:vAlign w:val="center"/>
          </w:tcPr>
          <w:p w:rsidR="00274F58" w:rsidRPr="009F3994" w:rsidRDefault="00274F58" w:rsidP="001B754E">
            <w:pPr>
              <w:spacing w:after="160" w:line="259" w:lineRule="auto"/>
              <w:rPr>
                <w:b/>
                <w:sz w:val="20"/>
                <w:szCs w:val="20"/>
              </w:rPr>
            </w:pPr>
            <w:r w:rsidRPr="009F3994">
              <w:rPr>
                <w:b/>
                <w:sz w:val="20"/>
                <w:szCs w:val="20"/>
              </w:rPr>
              <w:t xml:space="preserve">Aucune situation d’évaluation d’une épreuve ou sous-épreuve n’a pu être mise en </w:t>
            </w:r>
            <w:r w:rsidR="001B754E">
              <w:rPr>
                <w:b/>
                <w:sz w:val="20"/>
                <w:szCs w:val="20"/>
              </w:rPr>
              <w:t>œuvre.</w:t>
            </w:r>
            <w:r w:rsidRPr="009F3994">
              <w:rPr>
                <w:b/>
                <w:sz w:val="20"/>
                <w:szCs w:val="20"/>
              </w:rPr>
              <w:t xml:space="preserve"> </w:t>
            </w:r>
          </w:p>
        </w:tc>
      </w:tr>
      <w:tr w:rsidR="00CF1980" w:rsidRPr="00274F58" w:rsidTr="009F3994">
        <w:trPr>
          <w:trHeight w:val="831"/>
          <w:jc w:val="center"/>
        </w:trPr>
        <w:tc>
          <w:tcPr>
            <w:tcW w:w="2127" w:type="dxa"/>
            <w:gridSpan w:val="2"/>
            <w:vMerge w:val="restart"/>
            <w:shd w:val="clear" w:color="auto" w:fill="E7E6E6" w:themeFill="background2"/>
            <w:vAlign w:val="center"/>
          </w:tcPr>
          <w:p w:rsidR="00274F58" w:rsidRPr="00274F58" w:rsidRDefault="00274F58" w:rsidP="00274F58">
            <w:pPr>
              <w:spacing w:after="160" w:line="259" w:lineRule="auto"/>
              <w:rPr>
                <w:b/>
              </w:rPr>
            </w:pPr>
            <w:r w:rsidRPr="00274F58">
              <w:rPr>
                <w:b/>
              </w:rPr>
              <w:t>Note /20 à reporter dans le livret scolaire</w:t>
            </w:r>
          </w:p>
        </w:tc>
        <w:tc>
          <w:tcPr>
            <w:tcW w:w="3392" w:type="dxa"/>
            <w:vMerge w:val="restart"/>
            <w:vAlign w:val="center"/>
          </w:tcPr>
          <w:p w:rsidR="00274F58" w:rsidRPr="00274F58" w:rsidRDefault="00274F58" w:rsidP="00274F58">
            <w:pPr>
              <w:spacing w:after="160" w:line="259" w:lineRule="auto"/>
            </w:pPr>
            <w:r w:rsidRPr="003557E8">
              <w:rPr>
                <w:sz w:val="20"/>
                <w:szCs w:val="20"/>
              </w:rPr>
              <w:t>La note globale de CCF prenant en compte l’ensemble des situations d’évaluation est renseignée dans le livret scolaire en lieu et place de la moyenne de contrôle continu</w:t>
            </w:r>
            <w:r w:rsidRPr="00274F58">
              <w:t>.</w:t>
            </w:r>
          </w:p>
          <w:p w:rsidR="00274F58" w:rsidRPr="00274F58" w:rsidRDefault="00274F58" w:rsidP="00274F58">
            <w:pPr>
              <w:spacing w:after="160" w:line="259" w:lineRule="auto"/>
              <w:rPr>
                <w:b/>
              </w:rPr>
            </w:pPr>
          </w:p>
        </w:tc>
        <w:tc>
          <w:tcPr>
            <w:tcW w:w="3271" w:type="dxa"/>
            <w:shd w:val="clear" w:color="auto" w:fill="E7E6E6" w:themeFill="background2"/>
            <w:vAlign w:val="center"/>
          </w:tcPr>
          <w:p w:rsidR="00274F58" w:rsidRPr="009F3994" w:rsidRDefault="00274F58" w:rsidP="00274F58">
            <w:pPr>
              <w:spacing w:after="160" w:line="259" w:lineRule="auto"/>
              <w:rPr>
                <w:b/>
                <w:i/>
                <w:sz w:val="20"/>
                <w:szCs w:val="20"/>
              </w:rPr>
            </w:pPr>
            <w:r w:rsidRPr="009F3994">
              <w:rPr>
                <w:b/>
                <w:i/>
                <w:sz w:val="20"/>
                <w:szCs w:val="20"/>
              </w:rPr>
              <w:t>« La(les) note(s) de CCF reflète(</w:t>
            </w:r>
            <w:proofErr w:type="spellStart"/>
            <w:r w:rsidRPr="009F3994">
              <w:rPr>
                <w:b/>
                <w:i/>
                <w:sz w:val="20"/>
                <w:szCs w:val="20"/>
              </w:rPr>
              <w:t>ent</w:t>
            </w:r>
            <w:proofErr w:type="spellEnd"/>
            <w:r w:rsidRPr="009F3994">
              <w:rPr>
                <w:b/>
                <w:i/>
                <w:sz w:val="20"/>
                <w:szCs w:val="20"/>
              </w:rPr>
              <w:t>) le niveau atteint par l’élève »</w:t>
            </w:r>
          </w:p>
        </w:tc>
        <w:tc>
          <w:tcPr>
            <w:tcW w:w="3192" w:type="dxa"/>
            <w:shd w:val="clear" w:color="auto" w:fill="E7E6E6" w:themeFill="background2"/>
            <w:vAlign w:val="center"/>
          </w:tcPr>
          <w:p w:rsidR="00274F58" w:rsidRPr="009F3994" w:rsidRDefault="00274F58" w:rsidP="00274F58">
            <w:pPr>
              <w:spacing w:after="160" w:line="259" w:lineRule="auto"/>
              <w:rPr>
                <w:b/>
                <w:i/>
                <w:sz w:val="20"/>
                <w:szCs w:val="20"/>
              </w:rPr>
            </w:pPr>
            <w:r w:rsidRPr="009F3994">
              <w:rPr>
                <w:b/>
                <w:i/>
                <w:sz w:val="20"/>
                <w:szCs w:val="20"/>
              </w:rPr>
              <w:t>« La(les) note(s) de CCF ne reflète(</w:t>
            </w:r>
            <w:proofErr w:type="spellStart"/>
            <w:r w:rsidRPr="009F3994">
              <w:rPr>
                <w:b/>
                <w:i/>
                <w:sz w:val="20"/>
                <w:szCs w:val="20"/>
              </w:rPr>
              <w:t>ent</w:t>
            </w:r>
            <w:proofErr w:type="spellEnd"/>
            <w:r w:rsidRPr="009F3994">
              <w:rPr>
                <w:b/>
                <w:i/>
                <w:sz w:val="20"/>
                <w:szCs w:val="20"/>
              </w:rPr>
              <w:t>) pas le niveau atteint par l’élève</w:t>
            </w:r>
          </w:p>
        </w:tc>
        <w:tc>
          <w:tcPr>
            <w:tcW w:w="3206" w:type="dxa"/>
            <w:vMerge w:val="restart"/>
            <w:vAlign w:val="center"/>
          </w:tcPr>
          <w:p w:rsidR="00274F58" w:rsidRPr="003557E8" w:rsidRDefault="00274F58" w:rsidP="00274F58">
            <w:pPr>
              <w:spacing w:after="160" w:line="259" w:lineRule="auto"/>
              <w:rPr>
                <w:sz w:val="20"/>
                <w:szCs w:val="20"/>
              </w:rPr>
            </w:pPr>
            <w:r w:rsidRPr="003557E8">
              <w:rPr>
                <w:sz w:val="20"/>
                <w:szCs w:val="20"/>
              </w:rPr>
              <w:t>La note de contrôle continu s’appuyant sur les évaluations réalisées en cours de formation au regard des compétences ciblées par l’unité certificative tient lieu d’évaluation pour l’unité certificative correspondante. Cette note est reportée dans le livret scolaire.</w:t>
            </w:r>
          </w:p>
        </w:tc>
      </w:tr>
      <w:tr w:rsidR="00CF1980" w:rsidRPr="00274F58" w:rsidTr="009F3994">
        <w:trPr>
          <w:trHeight w:val="2971"/>
          <w:jc w:val="center"/>
        </w:trPr>
        <w:tc>
          <w:tcPr>
            <w:tcW w:w="2127" w:type="dxa"/>
            <w:gridSpan w:val="2"/>
            <w:vMerge/>
            <w:shd w:val="clear" w:color="auto" w:fill="E7E6E6" w:themeFill="background2"/>
            <w:vAlign w:val="center"/>
          </w:tcPr>
          <w:p w:rsidR="00274F58" w:rsidRPr="00274F58" w:rsidRDefault="00274F58" w:rsidP="00274F58">
            <w:pPr>
              <w:spacing w:after="160" w:line="259" w:lineRule="auto"/>
              <w:rPr>
                <w:b/>
              </w:rPr>
            </w:pPr>
          </w:p>
        </w:tc>
        <w:tc>
          <w:tcPr>
            <w:tcW w:w="3392" w:type="dxa"/>
            <w:vMerge/>
            <w:tcBorders>
              <w:bottom w:val="single" w:sz="4" w:space="0" w:color="auto"/>
            </w:tcBorders>
            <w:vAlign w:val="center"/>
          </w:tcPr>
          <w:p w:rsidR="00274F58" w:rsidRPr="00274F58" w:rsidRDefault="00274F58" w:rsidP="00274F58">
            <w:pPr>
              <w:spacing w:after="160" w:line="259" w:lineRule="auto"/>
            </w:pPr>
          </w:p>
        </w:tc>
        <w:tc>
          <w:tcPr>
            <w:tcW w:w="3271" w:type="dxa"/>
            <w:vAlign w:val="center"/>
          </w:tcPr>
          <w:p w:rsidR="00274F58" w:rsidRPr="003557E8" w:rsidRDefault="00274F58" w:rsidP="00274F58">
            <w:pPr>
              <w:spacing w:after="160" w:line="259" w:lineRule="auto"/>
              <w:rPr>
                <w:sz w:val="20"/>
                <w:szCs w:val="20"/>
              </w:rPr>
            </w:pPr>
            <w:r w:rsidRPr="003557E8">
              <w:rPr>
                <w:sz w:val="20"/>
                <w:szCs w:val="20"/>
              </w:rPr>
              <w:t>La note globale de CCF prenant en compte l’ensemble des situations d’évaluation déjà réalisées est renseignée dans le livret scolaire en s’appuyant sur ces seules notes de CCF.</w:t>
            </w:r>
          </w:p>
          <w:p w:rsidR="00274F58" w:rsidRPr="00274F58" w:rsidRDefault="00274F58" w:rsidP="00274F58">
            <w:pPr>
              <w:spacing w:after="160" w:line="259" w:lineRule="auto"/>
            </w:pPr>
          </w:p>
        </w:tc>
        <w:tc>
          <w:tcPr>
            <w:tcW w:w="3192" w:type="dxa"/>
            <w:vAlign w:val="center"/>
          </w:tcPr>
          <w:p w:rsidR="00274F58" w:rsidRDefault="00274F58" w:rsidP="00274F58">
            <w:pPr>
              <w:spacing w:after="160" w:line="259" w:lineRule="auto"/>
              <w:rPr>
                <w:sz w:val="20"/>
                <w:szCs w:val="20"/>
              </w:rPr>
            </w:pPr>
            <w:r w:rsidRPr="003557E8">
              <w:rPr>
                <w:sz w:val="20"/>
                <w:szCs w:val="20"/>
              </w:rPr>
              <w:t>La note globale de CCF est construite avec la ou les notes de CCF déjà attribuée(s) complétée pour les situations d’évaluation manquantes d’une note de contrôle continu s’appuyant sur les évaluations réalisées durant la formation au regard des compétences ciblées par l’unité certificative. La note globale de CCF est ainsi définie selon les procédures habituelles de calcul de la note renseignée au bordereau de notation.</w:t>
            </w:r>
          </w:p>
          <w:p w:rsidR="009F3994" w:rsidRDefault="009F3994" w:rsidP="00274F58">
            <w:pPr>
              <w:spacing w:after="160" w:line="259" w:lineRule="auto"/>
              <w:rPr>
                <w:sz w:val="20"/>
                <w:szCs w:val="20"/>
              </w:rPr>
            </w:pPr>
          </w:p>
          <w:p w:rsidR="009F3994" w:rsidRDefault="009F3994" w:rsidP="00274F58">
            <w:pPr>
              <w:spacing w:after="160" w:line="259" w:lineRule="auto"/>
              <w:rPr>
                <w:sz w:val="20"/>
                <w:szCs w:val="20"/>
              </w:rPr>
            </w:pPr>
          </w:p>
          <w:p w:rsidR="009F3994" w:rsidRDefault="009F3994" w:rsidP="00274F58">
            <w:pPr>
              <w:spacing w:after="160" w:line="259" w:lineRule="auto"/>
              <w:rPr>
                <w:sz w:val="20"/>
                <w:szCs w:val="20"/>
              </w:rPr>
            </w:pPr>
          </w:p>
          <w:p w:rsidR="009F3994" w:rsidRDefault="009F3994" w:rsidP="00274F58">
            <w:pPr>
              <w:spacing w:after="160" w:line="259" w:lineRule="auto"/>
              <w:rPr>
                <w:sz w:val="20"/>
                <w:szCs w:val="20"/>
              </w:rPr>
            </w:pPr>
          </w:p>
          <w:p w:rsidR="009F3994" w:rsidRDefault="009F3994" w:rsidP="00274F58">
            <w:pPr>
              <w:spacing w:after="160" w:line="259" w:lineRule="auto"/>
              <w:rPr>
                <w:sz w:val="20"/>
                <w:szCs w:val="20"/>
              </w:rPr>
            </w:pPr>
          </w:p>
          <w:p w:rsidR="009F3994" w:rsidRPr="003557E8" w:rsidRDefault="009F3994" w:rsidP="00274F58">
            <w:pPr>
              <w:spacing w:after="160" w:line="259" w:lineRule="auto"/>
              <w:rPr>
                <w:sz w:val="20"/>
                <w:szCs w:val="20"/>
              </w:rPr>
            </w:pPr>
          </w:p>
        </w:tc>
        <w:tc>
          <w:tcPr>
            <w:tcW w:w="3206" w:type="dxa"/>
            <w:vMerge/>
            <w:vAlign w:val="center"/>
          </w:tcPr>
          <w:p w:rsidR="00274F58" w:rsidRPr="00274F58" w:rsidRDefault="00274F58" w:rsidP="00274F58">
            <w:pPr>
              <w:spacing w:after="160" w:line="259" w:lineRule="auto"/>
            </w:pPr>
          </w:p>
        </w:tc>
      </w:tr>
      <w:tr w:rsidR="00B738A5" w:rsidRPr="00274F58" w:rsidTr="00CF1980">
        <w:trPr>
          <w:trHeight w:val="661"/>
          <w:jc w:val="center"/>
        </w:trPr>
        <w:tc>
          <w:tcPr>
            <w:tcW w:w="848" w:type="dxa"/>
            <w:vMerge w:val="restart"/>
            <w:shd w:val="clear" w:color="auto" w:fill="E7E6E6" w:themeFill="background2"/>
            <w:textDirection w:val="tbRl"/>
            <w:vAlign w:val="center"/>
          </w:tcPr>
          <w:p w:rsidR="00B738A5" w:rsidRPr="00274F58" w:rsidRDefault="00B738A5" w:rsidP="00274F58">
            <w:pPr>
              <w:spacing w:after="160" w:line="259" w:lineRule="auto"/>
              <w:rPr>
                <w:b/>
              </w:rPr>
            </w:pPr>
            <w:r w:rsidRPr="00274F58">
              <w:rPr>
                <w:b/>
              </w:rPr>
              <w:t>DIPLÔME PREPARÉ</w:t>
            </w:r>
          </w:p>
        </w:tc>
        <w:tc>
          <w:tcPr>
            <w:tcW w:w="1279" w:type="dxa"/>
            <w:vMerge w:val="restart"/>
            <w:shd w:val="clear" w:color="auto" w:fill="E7E6E6" w:themeFill="background2"/>
            <w:vAlign w:val="center"/>
          </w:tcPr>
          <w:p w:rsidR="00B738A5" w:rsidRDefault="00B738A5" w:rsidP="00274F58">
            <w:pPr>
              <w:spacing w:after="160" w:line="259" w:lineRule="auto"/>
              <w:rPr>
                <w:b/>
              </w:rPr>
            </w:pPr>
            <w:r w:rsidRPr="00274F58">
              <w:rPr>
                <w:b/>
              </w:rPr>
              <w:t>Baccalauréat professionnel</w:t>
            </w:r>
            <w:r>
              <w:rPr>
                <w:b/>
              </w:rPr>
              <w:t>,</w:t>
            </w:r>
          </w:p>
          <w:p w:rsidR="00B738A5" w:rsidRPr="00274F58" w:rsidRDefault="00B738A5" w:rsidP="00274F58">
            <w:pPr>
              <w:spacing w:after="160" w:line="259" w:lineRule="auto"/>
              <w:rPr>
                <w:b/>
              </w:rPr>
            </w:pPr>
            <w:r>
              <w:rPr>
                <w:b/>
              </w:rPr>
              <w:t>BP,BMA</w:t>
            </w:r>
          </w:p>
        </w:tc>
        <w:tc>
          <w:tcPr>
            <w:tcW w:w="3392" w:type="dxa"/>
            <w:vMerge w:val="restart"/>
            <w:tcBorders>
              <w:tl2br w:val="single" w:sz="4" w:space="0" w:color="auto"/>
              <w:tr2bl w:val="single" w:sz="4" w:space="0" w:color="auto"/>
            </w:tcBorders>
            <w:shd w:val="clear" w:color="auto" w:fill="auto"/>
            <w:vAlign w:val="center"/>
          </w:tcPr>
          <w:p w:rsidR="00B738A5" w:rsidRPr="00274F58" w:rsidRDefault="00B738A5" w:rsidP="00274F58">
            <w:pPr>
              <w:spacing w:after="160" w:line="259" w:lineRule="auto"/>
            </w:pPr>
          </w:p>
        </w:tc>
        <w:tc>
          <w:tcPr>
            <w:tcW w:w="3271" w:type="dxa"/>
            <w:vMerge w:val="restart"/>
            <w:tcBorders>
              <w:tl2br w:val="single" w:sz="4" w:space="0" w:color="auto"/>
              <w:tr2bl w:val="single" w:sz="4" w:space="0" w:color="auto"/>
            </w:tcBorders>
            <w:vAlign w:val="center"/>
          </w:tcPr>
          <w:p w:rsidR="00B738A5" w:rsidRPr="00274F58" w:rsidRDefault="00B738A5" w:rsidP="00274F58">
            <w:pPr>
              <w:spacing w:after="160" w:line="259" w:lineRule="auto"/>
              <w:rPr>
                <w:u w:val="single"/>
              </w:rPr>
            </w:pPr>
          </w:p>
          <w:p w:rsidR="00B738A5" w:rsidRPr="00274F58" w:rsidRDefault="00B738A5" w:rsidP="00274F58"/>
        </w:tc>
        <w:tc>
          <w:tcPr>
            <w:tcW w:w="3192" w:type="dxa"/>
            <w:vMerge w:val="restart"/>
            <w:tcBorders>
              <w:tl2br w:val="single" w:sz="4" w:space="0" w:color="auto"/>
              <w:tr2bl w:val="single" w:sz="4" w:space="0" w:color="auto"/>
            </w:tcBorders>
            <w:vAlign w:val="center"/>
          </w:tcPr>
          <w:p w:rsidR="00B738A5" w:rsidRPr="00274F58" w:rsidRDefault="00B738A5" w:rsidP="00274F58">
            <w:pPr>
              <w:spacing w:after="160" w:line="259" w:lineRule="auto"/>
            </w:pPr>
          </w:p>
          <w:p w:rsidR="00B738A5" w:rsidRPr="00274F58" w:rsidRDefault="00B738A5" w:rsidP="00274F58">
            <w:pPr>
              <w:spacing w:after="160" w:line="259" w:lineRule="auto"/>
            </w:pPr>
          </w:p>
        </w:tc>
        <w:tc>
          <w:tcPr>
            <w:tcW w:w="3206" w:type="dxa"/>
            <w:vAlign w:val="center"/>
          </w:tcPr>
          <w:p w:rsidR="00B738A5" w:rsidRPr="00274F58" w:rsidRDefault="00B738A5" w:rsidP="00274F58">
            <w:pPr>
              <w:spacing w:after="160" w:line="259" w:lineRule="auto"/>
            </w:pPr>
            <w:r>
              <w:t xml:space="preserve"> Un seul cas :</w:t>
            </w:r>
          </w:p>
        </w:tc>
      </w:tr>
      <w:tr w:rsidR="00B738A5" w:rsidRPr="00274F58" w:rsidTr="009F3994">
        <w:trPr>
          <w:trHeight w:val="2118"/>
          <w:jc w:val="center"/>
        </w:trPr>
        <w:tc>
          <w:tcPr>
            <w:tcW w:w="848" w:type="dxa"/>
            <w:vMerge/>
            <w:shd w:val="clear" w:color="auto" w:fill="E7E6E6" w:themeFill="background2"/>
            <w:textDirection w:val="tbRl"/>
            <w:vAlign w:val="center"/>
          </w:tcPr>
          <w:p w:rsidR="00B738A5" w:rsidRPr="00274F58" w:rsidRDefault="00B738A5" w:rsidP="00274F58">
            <w:pPr>
              <w:rPr>
                <w:b/>
              </w:rPr>
            </w:pPr>
          </w:p>
        </w:tc>
        <w:tc>
          <w:tcPr>
            <w:tcW w:w="1279" w:type="dxa"/>
            <w:vMerge/>
            <w:shd w:val="clear" w:color="auto" w:fill="E7E6E6" w:themeFill="background2"/>
            <w:vAlign w:val="center"/>
          </w:tcPr>
          <w:p w:rsidR="00B738A5" w:rsidRPr="00274F58" w:rsidRDefault="00B738A5" w:rsidP="00274F58">
            <w:pPr>
              <w:rPr>
                <w:b/>
              </w:rPr>
            </w:pPr>
          </w:p>
        </w:tc>
        <w:tc>
          <w:tcPr>
            <w:tcW w:w="3392" w:type="dxa"/>
            <w:vMerge/>
            <w:tcBorders>
              <w:tl2br w:val="single" w:sz="4" w:space="0" w:color="auto"/>
              <w:tr2bl w:val="single" w:sz="4" w:space="0" w:color="auto"/>
            </w:tcBorders>
            <w:shd w:val="clear" w:color="auto" w:fill="auto"/>
            <w:vAlign w:val="center"/>
          </w:tcPr>
          <w:p w:rsidR="00B738A5" w:rsidRPr="00274F58" w:rsidRDefault="00B738A5" w:rsidP="00274F58"/>
        </w:tc>
        <w:tc>
          <w:tcPr>
            <w:tcW w:w="3271" w:type="dxa"/>
            <w:vMerge/>
            <w:vAlign w:val="center"/>
          </w:tcPr>
          <w:p w:rsidR="00B738A5" w:rsidRDefault="00B738A5" w:rsidP="00274F58">
            <w:pPr>
              <w:rPr>
                <w:noProof/>
                <w:u w:val="single"/>
                <w:lang w:eastAsia="fr-FR"/>
              </w:rPr>
            </w:pPr>
          </w:p>
        </w:tc>
        <w:tc>
          <w:tcPr>
            <w:tcW w:w="3192" w:type="dxa"/>
            <w:vMerge/>
            <w:vAlign w:val="center"/>
          </w:tcPr>
          <w:p w:rsidR="00B738A5" w:rsidRPr="00274F58" w:rsidRDefault="00B738A5" w:rsidP="00274F58"/>
        </w:tc>
        <w:tc>
          <w:tcPr>
            <w:tcW w:w="3206" w:type="dxa"/>
            <w:vAlign w:val="center"/>
          </w:tcPr>
          <w:p w:rsidR="00B738A5" w:rsidRPr="009F3994" w:rsidRDefault="00B738A5" w:rsidP="00274F58">
            <w:pPr>
              <w:rPr>
                <w:sz w:val="20"/>
                <w:szCs w:val="20"/>
              </w:rPr>
            </w:pPr>
            <w:r w:rsidRPr="009F3994">
              <w:rPr>
                <w:sz w:val="20"/>
                <w:szCs w:val="20"/>
              </w:rPr>
              <w:t xml:space="preserve">Pour chacune des sous-épreuves, la note reportée dans le livret scolaire est la </w:t>
            </w:r>
            <w:r w:rsidRPr="00885ABE">
              <w:rPr>
                <w:b/>
                <w:sz w:val="20"/>
                <w:szCs w:val="20"/>
              </w:rPr>
              <w:t>moyenne des notes obtenues durant la période hors confinement</w:t>
            </w:r>
            <w:r w:rsidRPr="009F3994">
              <w:rPr>
                <w:sz w:val="20"/>
                <w:szCs w:val="20"/>
              </w:rPr>
              <w:t xml:space="preserve"> lors d’évaluations portant sur le programme de terminale uniquement</w:t>
            </w:r>
          </w:p>
        </w:tc>
      </w:tr>
    </w:tbl>
    <w:p w:rsidR="00274F58" w:rsidRDefault="00274F58"/>
    <w:sectPr w:rsidR="00274F58" w:rsidSect="003557E8">
      <w:footerReference w:type="default" r:id="rId6"/>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5A0" w:rsidRDefault="00D625A0" w:rsidP="00E85D45">
      <w:pPr>
        <w:spacing w:after="0" w:line="240" w:lineRule="auto"/>
      </w:pPr>
      <w:r>
        <w:separator/>
      </w:r>
    </w:p>
  </w:endnote>
  <w:endnote w:type="continuationSeparator" w:id="0">
    <w:p w:rsidR="00D625A0" w:rsidRDefault="00D625A0" w:rsidP="00E8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4612525BF204460383A8C5A1120FD441"/>
      </w:placeholder>
      <w:temporary/>
      <w:showingPlcHdr/>
      <w15:appearance w15:val="hidden"/>
    </w:sdtPr>
    <w:sdtContent>
      <w:p w:rsidR="00E85D45" w:rsidRDefault="00E85D45">
        <w:pPr>
          <w:pStyle w:val="Pieddepage"/>
        </w:pPr>
        <w:r>
          <w:t>[Tapez ici]</w:t>
        </w:r>
      </w:p>
    </w:sdtContent>
  </w:sdt>
  <w:p w:rsidR="00E85D45" w:rsidRDefault="00E85D45">
    <w:pPr>
      <w:pStyle w:val="Pieddepage"/>
    </w:pPr>
    <w:r>
      <w:t>Recommandations IEN Lettres HG session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5A0" w:rsidRDefault="00D625A0" w:rsidP="00E85D45">
      <w:pPr>
        <w:spacing w:after="0" w:line="240" w:lineRule="auto"/>
      </w:pPr>
      <w:r>
        <w:separator/>
      </w:r>
    </w:p>
  </w:footnote>
  <w:footnote w:type="continuationSeparator" w:id="0">
    <w:p w:rsidR="00D625A0" w:rsidRDefault="00D625A0" w:rsidP="00E85D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598"/>
    <w:rsid w:val="0008368E"/>
    <w:rsid w:val="001B754E"/>
    <w:rsid w:val="00274F58"/>
    <w:rsid w:val="003557E8"/>
    <w:rsid w:val="00557666"/>
    <w:rsid w:val="00885ABE"/>
    <w:rsid w:val="008F7E79"/>
    <w:rsid w:val="0093081C"/>
    <w:rsid w:val="009D4415"/>
    <w:rsid w:val="009D72F0"/>
    <w:rsid w:val="009F3994"/>
    <w:rsid w:val="00B13598"/>
    <w:rsid w:val="00B738A5"/>
    <w:rsid w:val="00BA5652"/>
    <w:rsid w:val="00BF3D1E"/>
    <w:rsid w:val="00CF1980"/>
    <w:rsid w:val="00D625A0"/>
    <w:rsid w:val="00E85D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514B9"/>
  <w15:chartTrackingRefBased/>
  <w15:docId w15:val="{D114E7FC-72EC-4DE6-857C-B64E836B6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74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85D45"/>
    <w:pPr>
      <w:tabs>
        <w:tab w:val="center" w:pos="4536"/>
        <w:tab w:val="right" w:pos="9072"/>
      </w:tabs>
      <w:spacing w:after="0" w:line="240" w:lineRule="auto"/>
    </w:pPr>
  </w:style>
  <w:style w:type="character" w:customStyle="1" w:styleId="En-tteCar">
    <w:name w:val="En-tête Car"/>
    <w:basedOn w:val="Policepardfaut"/>
    <w:link w:val="En-tte"/>
    <w:uiPriority w:val="99"/>
    <w:rsid w:val="00E85D45"/>
  </w:style>
  <w:style w:type="paragraph" w:styleId="Pieddepage">
    <w:name w:val="footer"/>
    <w:basedOn w:val="Normal"/>
    <w:link w:val="PieddepageCar"/>
    <w:uiPriority w:val="99"/>
    <w:unhideWhenUsed/>
    <w:rsid w:val="00E85D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5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12525BF204460383A8C5A1120FD441"/>
        <w:category>
          <w:name w:val="Général"/>
          <w:gallery w:val="placeholder"/>
        </w:category>
        <w:types>
          <w:type w:val="bbPlcHdr"/>
        </w:types>
        <w:behaviors>
          <w:behavior w:val="content"/>
        </w:behaviors>
        <w:guid w:val="{16B1257A-D928-4B5F-86ED-7D887FC3BFC7}"/>
      </w:docPartPr>
      <w:docPartBody>
        <w:p w:rsidR="00000000" w:rsidRDefault="00CE5D0B" w:rsidP="00CE5D0B">
          <w:pPr>
            <w:pStyle w:val="4612525BF204460383A8C5A1120FD441"/>
          </w:pPr>
          <w: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D0B"/>
    <w:rsid w:val="00B855D7"/>
    <w:rsid w:val="00CE5D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612525BF204460383A8C5A1120FD441">
    <w:name w:val="4612525BF204460383A8C5A1120FD441"/>
    <w:rsid w:val="00CE5D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1733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Topalian</dc:creator>
  <cp:keywords/>
  <dc:description/>
  <cp:lastModifiedBy>Nathalie Topalian</cp:lastModifiedBy>
  <cp:revision>2</cp:revision>
  <dcterms:created xsi:type="dcterms:W3CDTF">2020-05-26T11:48:00Z</dcterms:created>
  <dcterms:modified xsi:type="dcterms:W3CDTF">2020-05-26T11:48:00Z</dcterms:modified>
</cp:coreProperties>
</file>