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C128" w14:textId="198F2844" w:rsidR="008E3AD8" w:rsidRDefault="008E3AD8" w:rsidP="00C22C8F">
      <w:pPr>
        <w:pStyle w:val="Corpsdetexte"/>
      </w:pPr>
    </w:p>
    <w:p w14:paraId="54050C13" w14:textId="0489DF7F" w:rsidR="008E3AD8" w:rsidRDefault="00613D18">
      <w:pPr>
        <w:pStyle w:val="Corpsdetexte"/>
        <w:spacing w:before="8"/>
        <w:rPr>
          <w:rFonts w:ascii="Times New Roman" w:hAnsi="Times New Roman"/>
          <w:sz w:val="19"/>
        </w:rPr>
      </w:pPr>
      <w:r>
        <w:rPr>
          <w:rFonts w:ascii="Times New Roman" w:hAnsi="Times New Roman"/>
          <w:noProof/>
          <w:sz w:val="19"/>
        </w:rPr>
        <w:drawing>
          <wp:inline distT="0" distB="0" distL="0" distR="0" wp14:anchorId="384FAE94" wp14:editId="7ECC0EE8">
            <wp:extent cx="6032500" cy="343662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F275" w14:textId="77777777" w:rsidR="00C22C8F" w:rsidRDefault="00C22C8F">
      <w:pPr>
        <w:pStyle w:val="Corpsdetexte"/>
        <w:spacing w:before="2"/>
      </w:pPr>
    </w:p>
    <w:tbl>
      <w:tblPr>
        <w:tblW w:w="9056" w:type="dxa"/>
        <w:tblInd w:w="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5"/>
        <w:gridCol w:w="7441"/>
      </w:tblGrid>
      <w:tr w:rsidR="008E3AD8" w14:paraId="2C7AA466" w14:textId="77777777">
        <w:trPr>
          <w:trHeight w:val="908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FFAD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59716377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6E01C157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54632323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7A47CB5B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2F515380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5DFD2FA3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55196DC2" w14:textId="77777777" w:rsidR="008E3AD8" w:rsidRDefault="008E3AD8">
            <w:pPr>
              <w:pStyle w:val="TableParagraph"/>
              <w:rPr>
                <w:sz w:val="32"/>
              </w:rPr>
            </w:pPr>
          </w:p>
          <w:p w14:paraId="4B949ABF" w14:textId="77777777" w:rsidR="008E3AD8" w:rsidRDefault="008E3AD8">
            <w:pPr>
              <w:pStyle w:val="TableParagraph"/>
              <w:spacing w:before="11"/>
              <w:rPr>
                <w:sz w:val="39"/>
              </w:rPr>
            </w:pPr>
          </w:p>
          <w:p w14:paraId="1F01611D" w14:textId="77777777" w:rsidR="008E3AD8" w:rsidRDefault="006F152F">
            <w:pPr>
              <w:pStyle w:val="TableParagraph"/>
              <w:spacing w:before="1"/>
              <w:ind w:left="239"/>
              <w:rPr>
                <w:b/>
                <w:sz w:val="32"/>
              </w:rPr>
            </w:pPr>
            <w:r>
              <w:rPr>
                <w:b/>
                <w:sz w:val="32"/>
              </w:rPr>
              <w:t>Scénario</w:t>
            </w:r>
          </w:p>
          <w:p w14:paraId="12F75334" w14:textId="77777777" w:rsidR="008E3AD8" w:rsidRDefault="008E3AD8">
            <w:pPr>
              <w:pStyle w:val="TableParagraph"/>
              <w:spacing w:before="3"/>
              <w:rPr>
                <w:sz w:val="21"/>
              </w:rPr>
            </w:pPr>
          </w:p>
          <w:p w14:paraId="353FB82D" w14:textId="77777777" w:rsidR="008E3AD8" w:rsidRDefault="006F152F">
            <w:pPr>
              <w:pStyle w:val="TableParagraph"/>
              <w:ind w:left="265"/>
            </w:pPr>
            <w:r>
              <w:rPr>
                <w:noProof/>
                <w:sz w:val="20"/>
              </w:rPr>
              <w:drawing>
                <wp:inline distT="0" distB="0" distL="0" distR="0" wp14:anchorId="3A511B0D" wp14:editId="548790FF">
                  <wp:extent cx="779526" cy="616077"/>
                  <wp:effectExtent l="0" t="0" r="1524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6" cy="61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9585B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780F9C3B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09E98956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5F464C22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26E38E6B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02DB5F17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34DB9C05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67FD3B2A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78D3B8CF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6D65D562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76B7F7ED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0AAF2B86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7D2560DC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1E01C612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4518549D" w14:textId="77777777" w:rsidR="008E3AD8" w:rsidRDefault="008E3AD8">
            <w:pPr>
              <w:pStyle w:val="TableParagraph"/>
              <w:rPr>
                <w:sz w:val="20"/>
              </w:rPr>
            </w:pPr>
          </w:p>
          <w:p w14:paraId="5172EE17" w14:textId="77777777" w:rsidR="008E3AD8" w:rsidRDefault="008E3AD8">
            <w:pPr>
              <w:pStyle w:val="TableParagraph"/>
              <w:spacing w:before="3"/>
              <w:rPr>
                <w:sz w:val="15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C724" w14:textId="77777777" w:rsidR="008E3AD8" w:rsidRDefault="008E3AD8">
            <w:pPr>
              <w:pStyle w:val="TableParagraph"/>
              <w:spacing w:before="11"/>
              <w:rPr>
                <w:sz w:val="23"/>
              </w:rPr>
            </w:pPr>
          </w:p>
          <w:p w14:paraId="79941336" w14:textId="7B0E59B0" w:rsidR="00D15A3F" w:rsidRPr="00D15A3F" w:rsidRDefault="00BE20C7" w:rsidP="00D15A3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spacing w:before="1"/>
              <w:ind w:hanging="237"/>
              <w:jc w:val="both"/>
              <w:rPr>
                <w:b/>
                <w:sz w:val="24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                </w:t>
            </w:r>
            <w:r w:rsidR="00D15A3F" w:rsidRPr="00D15A3F">
              <w:rPr>
                <w:rFonts w:cs="TimesNewRomanPS-BoldMT"/>
                <w:b/>
                <w:bCs/>
                <w:sz w:val="28"/>
                <w:szCs w:val="28"/>
              </w:rPr>
              <w:t>Etude d’objets sonores vibrants</w:t>
            </w:r>
          </w:p>
          <w:p w14:paraId="40B20437" w14:textId="77777777" w:rsidR="00D15A3F" w:rsidRPr="000908FC" w:rsidRDefault="00D15A3F" w:rsidP="00D15A3F">
            <w:pPr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  <w:r w:rsidRPr="000908FC">
              <w:rPr>
                <w:rFonts w:cs="TimesNewRomanPS-BoldMT"/>
                <w:b/>
                <w:bCs/>
                <w:sz w:val="28"/>
                <w:szCs w:val="28"/>
              </w:rPr>
              <w:t>« Castafiore, Harry Potter et concert des élèves… »</w:t>
            </w:r>
          </w:p>
          <w:p w14:paraId="6A853CEA" w14:textId="77777777" w:rsidR="008E3AD8" w:rsidRDefault="008E3AD8">
            <w:pPr>
              <w:pStyle w:val="TableParagraph"/>
              <w:spacing w:before="11"/>
              <w:rPr>
                <w:sz w:val="23"/>
              </w:rPr>
            </w:pPr>
          </w:p>
          <w:p w14:paraId="147EC3F6" w14:textId="77777777" w:rsidR="008E3AD8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14:paraId="5E307DDF" w14:textId="63688121" w:rsidR="008E3AD8" w:rsidRPr="0024074F" w:rsidRDefault="00D15A3F">
            <w:pPr>
              <w:pStyle w:val="TableParagraph"/>
              <w:ind w:left="107" w:right="93"/>
              <w:jc w:val="both"/>
              <w:rPr>
                <w:iCs/>
                <w:sz w:val="24"/>
              </w:rPr>
            </w:pPr>
            <w:r w:rsidRPr="0024074F">
              <w:rPr>
                <w:iCs/>
                <w:sz w:val="24"/>
              </w:rPr>
              <w:t>Une Castafiore qui essaye de briser un verre devant Harry Potter et la mélodie de Harry Potter jouée en concert sur des verres… A leur tour, les élèves cherchent à jouer la mélodie sur des verres à vin pour un concert final…</w:t>
            </w:r>
          </w:p>
          <w:p w14:paraId="0559B51F" w14:textId="77777777" w:rsidR="008E3AD8" w:rsidRDefault="008E3AD8">
            <w:pPr>
              <w:pStyle w:val="TableParagraph"/>
              <w:spacing w:before="12"/>
              <w:rPr>
                <w:sz w:val="23"/>
              </w:rPr>
            </w:pPr>
          </w:p>
          <w:p w14:paraId="5D862952" w14:textId="637AD394" w:rsidR="008E3AD8" w:rsidRPr="00C22C8F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  <w:jc w:val="both"/>
            </w:pPr>
            <w:r>
              <w:rPr>
                <w:b/>
                <w:sz w:val="24"/>
              </w:rPr>
              <w:t>Niveau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concerné</w:t>
            </w:r>
          </w:p>
          <w:p w14:paraId="02C1BB87" w14:textId="7093AC25" w:rsidR="00C22C8F" w:rsidRPr="0024074F" w:rsidRDefault="00C22C8F" w:rsidP="00D15A3F">
            <w:pPr>
              <w:pStyle w:val="TableParagraph"/>
              <w:ind w:left="420" w:right="93"/>
              <w:jc w:val="both"/>
              <w:rPr>
                <w:iCs/>
                <w:sz w:val="24"/>
              </w:rPr>
            </w:pPr>
            <w:r w:rsidRPr="0024074F">
              <w:rPr>
                <w:iCs/>
                <w:sz w:val="24"/>
              </w:rPr>
              <w:t>Seconde</w:t>
            </w:r>
            <w:r w:rsidR="00D15A3F" w:rsidRPr="0024074F">
              <w:rPr>
                <w:iCs/>
                <w:sz w:val="24"/>
              </w:rPr>
              <w:t>, programme 2019</w:t>
            </w:r>
          </w:p>
          <w:p w14:paraId="7EEC1E6E" w14:textId="77777777" w:rsidR="008E3AD8" w:rsidRDefault="008E3AD8">
            <w:pPr>
              <w:pStyle w:val="TableParagraph"/>
              <w:spacing w:before="12"/>
              <w:rPr>
                <w:sz w:val="23"/>
              </w:rPr>
            </w:pPr>
          </w:p>
          <w:p w14:paraId="2EAF8E8B" w14:textId="1C2F7E26" w:rsidR="008E3AD8" w:rsidRPr="0024074F" w:rsidRDefault="006F152F" w:rsidP="0024074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  <w:jc w:val="both"/>
            </w:pPr>
            <w:r>
              <w:rPr>
                <w:b/>
                <w:sz w:val="24"/>
              </w:rPr>
              <w:t>Objectif</w:t>
            </w:r>
            <w:r w:rsidR="004F4FAB"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pédagogique</w:t>
            </w:r>
            <w:r w:rsidR="004F4FAB">
              <w:rPr>
                <w:b/>
                <w:sz w:val="24"/>
              </w:rPr>
              <w:t>s</w:t>
            </w:r>
          </w:p>
          <w:p w14:paraId="0BB7C965" w14:textId="49FF8B7F" w:rsidR="0017277C" w:rsidRPr="00806E64" w:rsidRDefault="0017277C" w:rsidP="0017277C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Cette activité couvre</w:t>
            </w:r>
            <w:r w:rsidR="00BE20C7">
              <w:rPr>
                <w:sz w:val="24"/>
              </w:rPr>
              <w:t>,</w:t>
            </w:r>
            <w:r w:rsidRPr="0024074F">
              <w:rPr>
                <w:sz w:val="24"/>
                <w:szCs w:val="24"/>
              </w:rPr>
              <w:t xml:space="preserve"> dans la partie « </w:t>
            </w:r>
            <w:r w:rsidRPr="0024074F">
              <w:rPr>
                <w:i/>
                <w:iCs/>
                <w:sz w:val="24"/>
                <w:szCs w:val="24"/>
              </w:rPr>
              <w:t>Emission et propagation d’un signal sonore</w:t>
            </w:r>
            <w:r w:rsidRPr="0024074F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du programme</w:t>
            </w:r>
            <w:r w:rsidRPr="0024074F">
              <w:rPr>
                <w:sz w:val="24"/>
                <w:szCs w:val="24"/>
              </w:rPr>
              <w:t>, la capacité exigible « </w:t>
            </w:r>
            <w:r w:rsidRPr="0024074F">
              <w:rPr>
                <w:i/>
                <w:sz w:val="24"/>
                <w:szCs w:val="24"/>
              </w:rPr>
              <w:t>Utiliser une chaine de mesure pour obtenir des informations sur les vibrations d’un objet émettant un signal sonore. Mesurer la période T d’un signal sonore périodique. »</w:t>
            </w:r>
          </w:p>
          <w:p w14:paraId="71F174F7" w14:textId="77777777" w:rsidR="00C22C8F" w:rsidRDefault="00C22C8F">
            <w:pPr>
              <w:pStyle w:val="TableParagraph"/>
              <w:spacing w:before="2"/>
              <w:rPr>
                <w:sz w:val="24"/>
              </w:rPr>
            </w:pPr>
          </w:p>
          <w:p w14:paraId="1FFC399F" w14:textId="7800C974" w:rsidR="008E3AD8" w:rsidRPr="0017277C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</w:pPr>
            <w:r>
              <w:rPr>
                <w:b/>
                <w:sz w:val="24"/>
              </w:rPr>
              <w:t>Compétences mobilisées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513D622C" w14:textId="22892B26" w:rsidR="0017277C" w:rsidRPr="0017277C" w:rsidRDefault="0017277C" w:rsidP="0017277C">
            <w:pPr>
              <w:pStyle w:val="TableParagraph"/>
              <w:numPr>
                <w:ilvl w:val="1"/>
                <w:numId w:val="1"/>
              </w:numPr>
              <w:tabs>
                <w:tab w:val="left" w:pos="1"/>
              </w:tabs>
              <w:rPr>
                <w:bCs/>
              </w:rPr>
            </w:pPr>
            <w:r w:rsidRPr="0017277C">
              <w:rPr>
                <w:bCs/>
                <w:sz w:val="24"/>
              </w:rPr>
              <w:t>Analyser une situation, proposer et réaliser un protocole, utiliser des outils informatiques pour analyser des données afin de répondre à une problématique.</w:t>
            </w:r>
          </w:p>
          <w:p w14:paraId="2A3B5B69" w14:textId="137BC815" w:rsidR="008E3AD8" w:rsidRPr="00C22C8F" w:rsidRDefault="006F152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CRCN – Cadre de Référence des Compétences Numériques</w:t>
            </w:r>
          </w:p>
          <w:p w14:paraId="25CCA2DC" w14:textId="0E8153AE" w:rsidR="00C22C8F" w:rsidRDefault="00806E64" w:rsidP="00C22C8F">
            <w:pPr>
              <w:pStyle w:val="TableParagraph"/>
              <w:tabs>
                <w:tab w:val="left" w:pos="0"/>
                <w:tab w:val="left" w:pos="1"/>
              </w:tabs>
              <w:ind w:left="827"/>
            </w:pPr>
            <w:r>
              <w:t>Environnement numérique : Evoluer dans un environnement numérique</w:t>
            </w:r>
          </w:p>
          <w:p w14:paraId="1273E4BC" w14:textId="240B8218" w:rsidR="00806E64" w:rsidRDefault="00806E64" w:rsidP="00C22C8F">
            <w:pPr>
              <w:pStyle w:val="TableParagraph"/>
              <w:tabs>
                <w:tab w:val="left" w:pos="0"/>
                <w:tab w:val="left" w:pos="1"/>
              </w:tabs>
              <w:ind w:left="827"/>
            </w:pPr>
            <w:r>
              <w:t>Information et données : Gérer, traiter des données</w:t>
            </w:r>
          </w:p>
          <w:p w14:paraId="0EBEF44A" w14:textId="77777777" w:rsidR="008E3AD8" w:rsidRDefault="008E3AD8">
            <w:pPr>
              <w:pStyle w:val="TableParagraph"/>
              <w:spacing w:before="12"/>
              <w:rPr>
                <w:sz w:val="23"/>
              </w:rPr>
            </w:pPr>
          </w:p>
          <w:p w14:paraId="4EAE6524" w14:textId="6BC58DCD" w:rsidR="008E3AD8" w:rsidRPr="00C22C8F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</w:pPr>
            <w:r>
              <w:rPr>
                <w:b/>
                <w:sz w:val="24"/>
              </w:rPr>
              <w:t>Outils numériques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utilisés</w:t>
            </w:r>
          </w:p>
          <w:p w14:paraId="14DDD222" w14:textId="2F0772F3" w:rsidR="00C22C8F" w:rsidRPr="0024074F" w:rsidRDefault="00C22C8F" w:rsidP="00C22C8F">
            <w:pPr>
              <w:pStyle w:val="TableParagraph"/>
              <w:ind w:left="420" w:right="93"/>
              <w:jc w:val="both"/>
              <w:rPr>
                <w:iCs/>
                <w:sz w:val="24"/>
              </w:rPr>
            </w:pPr>
            <w:r w:rsidRPr="0024074F">
              <w:rPr>
                <w:iCs/>
                <w:noProof/>
                <w:sz w:val="24"/>
              </w:rPr>
              <w:drawing>
                <wp:inline distT="0" distB="0" distL="0" distR="0" wp14:anchorId="5DBD525F" wp14:editId="398AEDAF">
                  <wp:extent cx="294701" cy="30279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10" cy="31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74F">
              <w:rPr>
                <w:iCs/>
                <w:sz w:val="24"/>
              </w:rPr>
              <w:t>Logiciel Audacity sur ordinateur</w:t>
            </w:r>
            <w:r w:rsidR="00D15A3F" w:rsidRPr="0024074F">
              <w:rPr>
                <w:iCs/>
                <w:sz w:val="24"/>
              </w:rPr>
              <w:t xml:space="preserve"> </w:t>
            </w:r>
            <w:hyperlink r:id="rId10" w:history="1">
              <w:r w:rsidR="00D15A3F" w:rsidRPr="0024074F">
                <w:rPr>
                  <w:rStyle w:val="Lienhypertexte"/>
                  <w:iCs/>
                  <w:sz w:val="24"/>
                </w:rPr>
                <w:t>https://audacity.fr/</w:t>
              </w:r>
            </w:hyperlink>
          </w:p>
          <w:p w14:paraId="4961421C" w14:textId="36829F83" w:rsidR="00C22C8F" w:rsidRPr="0024074F" w:rsidRDefault="00C22C8F" w:rsidP="00C22C8F">
            <w:pPr>
              <w:pStyle w:val="TableParagraph"/>
              <w:ind w:left="420" w:right="93"/>
              <w:jc w:val="both"/>
              <w:rPr>
                <w:iCs/>
              </w:rPr>
            </w:pPr>
            <w:r w:rsidRPr="0024074F">
              <w:rPr>
                <w:iCs/>
                <w:noProof/>
                <w:sz w:val="24"/>
              </w:rPr>
              <w:lastRenderedPageBreak/>
              <w:drawing>
                <wp:inline distT="0" distB="0" distL="0" distR="0" wp14:anchorId="55F1AFBB" wp14:editId="5C86F921">
                  <wp:extent cx="289560" cy="29355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19" cy="3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74F">
              <w:rPr>
                <w:iCs/>
                <w:sz w:val="24"/>
              </w:rPr>
              <w:t>Application Phyphox, tablettes ou smartphone (</w:t>
            </w:r>
            <w:r w:rsidR="002F27BB" w:rsidRPr="0024074F">
              <w:rPr>
                <w:iCs/>
                <w:sz w:val="24"/>
              </w:rPr>
              <w:t>Android</w:t>
            </w:r>
            <w:r w:rsidRPr="0024074F">
              <w:rPr>
                <w:iCs/>
                <w:sz w:val="24"/>
              </w:rPr>
              <w:t xml:space="preserve"> ou iOS) </w:t>
            </w:r>
            <w:r w:rsidRPr="0024074F">
              <w:rPr>
                <w:b/>
                <w:iCs/>
                <w:sz w:val="24"/>
              </w:rPr>
              <w:t xml:space="preserve"> </w:t>
            </w:r>
            <w:hyperlink r:id="rId12" w:history="1">
              <w:r w:rsidRPr="0024074F">
                <w:rPr>
                  <w:rStyle w:val="Lienhypertexte"/>
                  <w:bCs/>
                  <w:iCs/>
                  <w:sz w:val="24"/>
                </w:rPr>
                <w:t>lien</w:t>
              </w:r>
            </w:hyperlink>
          </w:p>
          <w:p w14:paraId="136B0101" w14:textId="77777777" w:rsidR="008E3AD8" w:rsidRDefault="008E3AD8">
            <w:pPr>
              <w:pStyle w:val="TableParagraph"/>
              <w:spacing w:before="11"/>
              <w:rPr>
                <w:sz w:val="23"/>
              </w:rPr>
            </w:pPr>
          </w:p>
          <w:p w14:paraId="0B123E8F" w14:textId="77777777" w:rsidR="008E3AD8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spacing w:before="1"/>
              <w:ind w:hanging="237"/>
            </w:pPr>
            <w:r>
              <w:rPr>
                <w:b/>
                <w:sz w:val="24"/>
              </w:rPr>
              <w:t>Contexte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pédagogique</w:t>
            </w:r>
          </w:p>
          <w:p w14:paraId="55F6BA75" w14:textId="0838DAF1" w:rsidR="008E3AD8" w:rsidRDefault="006F152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Prérequis</w:t>
            </w:r>
            <w:r w:rsidR="00C22C8F">
              <w:rPr>
                <w:sz w:val="24"/>
              </w:rPr>
              <w:t xml:space="preserve"> : </w:t>
            </w:r>
            <w:r w:rsidR="0024074F">
              <w:rPr>
                <w:sz w:val="24"/>
              </w:rPr>
              <w:t>Notion de période</w:t>
            </w:r>
          </w:p>
          <w:p w14:paraId="7BC86947" w14:textId="28073859" w:rsidR="008E3AD8" w:rsidRPr="0024074F" w:rsidRDefault="00C22C8F" w:rsidP="0024074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Une séance d’une heure et demie</w:t>
            </w:r>
            <w:r w:rsidR="0024074F">
              <w:t>, e</w:t>
            </w:r>
            <w:r w:rsidRPr="0024074F">
              <w:rPr>
                <w:sz w:val="24"/>
              </w:rPr>
              <w:t>n demi-groupe</w:t>
            </w:r>
          </w:p>
          <w:p w14:paraId="05E21CAD" w14:textId="39679E08" w:rsidR="0024074F" w:rsidRPr="0024074F" w:rsidRDefault="0024074F" w:rsidP="0024074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Un ordinateur et une tablette élève pour deux</w:t>
            </w:r>
          </w:p>
          <w:p w14:paraId="527BCD0A" w14:textId="77777777" w:rsidR="008E3AD8" w:rsidRDefault="008E3AD8">
            <w:pPr>
              <w:pStyle w:val="TableParagraph"/>
              <w:spacing w:before="1"/>
              <w:rPr>
                <w:sz w:val="24"/>
              </w:rPr>
            </w:pPr>
          </w:p>
          <w:p w14:paraId="7275E966" w14:textId="77777777" w:rsidR="008E3AD8" w:rsidRDefault="006F152F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ind w:hanging="237"/>
            </w:pPr>
            <w:r>
              <w:rPr>
                <w:b/>
                <w:sz w:val="24"/>
              </w:rPr>
              <w:t>Retour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d’expérience</w:t>
            </w:r>
          </w:p>
          <w:p w14:paraId="3087D60E" w14:textId="0A6ECE91" w:rsidR="008E3AD8" w:rsidRDefault="006F152F" w:rsidP="00613D18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Les plus-values pédagogiques (enseignants 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élèves)</w:t>
            </w:r>
            <w:r w:rsidR="0024074F">
              <w:rPr>
                <w:sz w:val="24"/>
              </w:rPr>
              <w:t xml:space="preserve"> : une situation très </w:t>
            </w:r>
            <w:r w:rsidR="00613D18">
              <w:rPr>
                <w:sz w:val="24"/>
              </w:rPr>
              <w:t>concrète</w:t>
            </w:r>
            <w:r w:rsidR="0024074F">
              <w:rPr>
                <w:sz w:val="24"/>
              </w:rPr>
              <w:t xml:space="preserve"> et motivante avec la production collaborative finale. Beaucoup d’entraide entre les groupes à la fin pour que tous aient leur verre accordé.</w:t>
            </w:r>
            <w:r w:rsidR="0017277C">
              <w:rPr>
                <w:sz w:val="24"/>
              </w:rPr>
              <w:t xml:space="preserve"> Consolidation des notions de période et fréquence.</w:t>
            </w:r>
          </w:p>
          <w:p w14:paraId="662BB56B" w14:textId="41BB521D" w:rsidR="008E3AD8" w:rsidRDefault="006F152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freins</w:t>
            </w:r>
            <w:r w:rsidR="0024074F">
              <w:rPr>
                <w:sz w:val="24"/>
              </w:rPr>
              <w:t> : il ne faut pas passer trop de temps sur l</w:t>
            </w:r>
            <w:r w:rsidR="00613D18">
              <w:rPr>
                <w:sz w:val="24"/>
              </w:rPr>
              <w:t>e début</w:t>
            </w:r>
            <w:r w:rsidR="00806E64">
              <w:rPr>
                <w:sz w:val="24"/>
              </w:rPr>
              <w:t xml:space="preserve">, sous peine de ne pas arriver à la production </w:t>
            </w:r>
            <w:r w:rsidR="0017277C">
              <w:rPr>
                <w:sz w:val="24"/>
              </w:rPr>
              <w:t>finale</w:t>
            </w:r>
            <w:r w:rsidR="00613D18">
              <w:rPr>
                <w:sz w:val="24"/>
              </w:rPr>
              <w:t>. Si les élèves ne connaissent pas Audacity, une démonstration par le professeur fait gagner du temps.</w:t>
            </w:r>
          </w:p>
          <w:p w14:paraId="35DBBE03" w14:textId="1A82DFBD" w:rsidR="008E3AD8" w:rsidRDefault="006F152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leviers</w:t>
            </w:r>
            <w:r w:rsidR="0024074F">
              <w:rPr>
                <w:sz w:val="24"/>
              </w:rPr>
              <w:t> : la dernière partie (</w:t>
            </w:r>
            <w:r w:rsidR="00613D18">
              <w:rPr>
                <w:sz w:val="24"/>
              </w:rPr>
              <w:t xml:space="preserve">analyse de la précision et </w:t>
            </w:r>
            <w:r w:rsidR="0024074F">
              <w:rPr>
                <w:sz w:val="24"/>
              </w:rPr>
              <w:t xml:space="preserve">chaine) peut être faite </w:t>
            </w:r>
            <w:r w:rsidR="00613D18">
              <w:rPr>
                <w:sz w:val="24"/>
              </w:rPr>
              <w:t>au cours suivant</w:t>
            </w:r>
            <w:r w:rsidR="0024074F">
              <w:rPr>
                <w:sz w:val="24"/>
              </w:rPr>
              <w:t>.</w:t>
            </w:r>
          </w:p>
          <w:p w14:paraId="4A154165" w14:textId="4A14775C" w:rsidR="008E3AD8" w:rsidRDefault="006F152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  <w:tab w:val="left" w:pos="1"/>
              </w:tabs>
              <w:ind w:hanging="361"/>
            </w:pPr>
            <w:r>
              <w:rPr>
                <w:sz w:val="24"/>
              </w:rPr>
              <w:t>Les pistes pour aller plus loin</w:t>
            </w:r>
            <w:r w:rsidR="00613D18">
              <w:rPr>
                <w:sz w:val="24"/>
              </w:rPr>
              <w:t xml:space="preserve"> : on peut </w:t>
            </w:r>
            <w:r w:rsidR="0017277C">
              <w:rPr>
                <w:sz w:val="24"/>
              </w:rPr>
              <w:t xml:space="preserve">ensuite </w:t>
            </w:r>
            <w:r w:rsidR="00613D18">
              <w:rPr>
                <w:sz w:val="24"/>
              </w:rPr>
              <w:t xml:space="preserve">leur demander de trouver les notes de la mélodie (ou d’une autre au choix) et leur faire jouer la mélodie avec un microcontrôleur (autre activité </w:t>
            </w:r>
            <w:r w:rsidR="000B1F44">
              <w:rPr>
                <w:sz w:val="24"/>
              </w:rPr>
              <w:t xml:space="preserve">expérimentale qui est au </w:t>
            </w:r>
            <w:r w:rsidR="00613D18">
              <w:rPr>
                <w:sz w:val="24"/>
              </w:rPr>
              <w:t>programme)</w:t>
            </w:r>
          </w:p>
        </w:tc>
      </w:tr>
    </w:tbl>
    <w:p w14:paraId="78019553" w14:textId="77777777" w:rsidR="008E3AD8" w:rsidRDefault="008E3AD8">
      <w:pPr>
        <w:pStyle w:val="Corpsdetexte"/>
        <w:rPr>
          <w:b/>
          <w:sz w:val="26"/>
        </w:rPr>
      </w:pPr>
    </w:p>
    <w:sectPr w:rsidR="008E3AD8">
      <w:pgSz w:w="11900" w:h="16850"/>
      <w:pgMar w:top="1420" w:right="1200" w:bottom="280" w:left="12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86BF" w16cex:dateUtc="2020-04-03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CCE5" w14:textId="77777777" w:rsidR="004D71FF" w:rsidRDefault="004D71FF">
      <w:r>
        <w:separator/>
      </w:r>
    </w:p>
  </w:endnote>
  <w:endnote w:type="continuationSeparator" w:id="0">
    <w:p w14:paraId="74EDE359" w14:textId="77777777" w:rsidR="004D71FF" w:rsidRDefault="004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E3A5" w14:textId="77777777" w:rsidR="004D71FF" w:rsidRDefault="004D71FF">
      <w:r>
        <w:rPr>
          <w:color w:val="000000"/>
        </w:rPr>
        <w:separator/>
      </w:r>
    </w:p>
  </w:footnote>
  <w:footnote w:type="continuationSeparator" w:id="0">
    <w:p w14:paraId="567E80E8" w14:textId="77777777" w:rsidR="004D71FF" w:rsidRDefault="004D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A62B7"/>
    <w:multiLevelType w:val="multilevel"/>
    <w:tmpl w:val="84460F78"/>
    <w:lvl w:ilvl="0">
      <w:numFmt w:val="bullet"/>
      <w:lvlText w:val="◼"/>
      <w:lvlJc w:val="left"/>
      <w:pPr>
        <w:ind w:left="343" w:hanging="236"/>
      </w:pPr>
      <w:rPr>
        <w:rFonts w:ascii="Wingdings" w:eastAsia="Wingdings" w:hAnsi="Wingdings" w:cs="Wingdings"/>
        <w:w w:val="149"/>
        <w:sz w:val="24"/>
        <w:szCs w:val="24"/>
        <w:lang w:val="fr-FR" w:eastAsia="fr-FR" w:bidi="fr-FR"/>
      </w:rPr>
    </w:lvl>
    <w:lvl w:ilvl="1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pacing w:val="-2"/>
        <w:w w:val="100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1554" w:hanging="360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2289" w:hanging="360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3023" w:hanging="360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3758" w:hanging="360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4492" w:hanging="360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5227" w:hanging="360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5961" w:hanging="360"/>
      </w:pPr>
      <w:rPr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D8"/>
    <w:rsid w:val="000B1F44"/>
    <w:rsid w:val="0017277C"/>
    <w:rsid w:val="00194014"/>
    <w:rsid w:val="0024074F"/>
    <w:rsid w:val="002F27BB"/>
    <w:rsid w:val="003450B7"/>
    <w:rsid w:val="004D71FF"/>
    <w:rsid w:val="004F4FAB"/>
    <w:rsid w:val="00613921"/>
    <w:rsid w:val="00613D18"/>
    <w:rsid w:val="006F152F"/>
    <w:rsid w:val="00806E64"/>
    <w:rsid w:val="008C4567"/>
    <w:rsid w:val="008E3AD8"/>
    <w:rsid w:val="00BE20C7"/>
    <w:rsid w:val="00C22C8F"/>
    <w:rsid w:val="00D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3F5"/>
  <w15:docId w15:val="{5AB2A891-D52B-4D99-8E6E-A61B706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paragraph" w:styleId="Paragraphedeliste">
    <w:name w:val="List Paragraph"/>
    <w:basedOn w:val="Normal"/>
    <w:pPr>
      <w:ind w:left="936" w:hanging="361"/>
      <w:jc w:val="both"/>
    </w:pPr>
  </w:style>
  <w:style w:type="paragraph" w:customStyle="1" w:styleId="TableParagraph">
    <w:name w:val="Table Paragraph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22C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C8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E20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0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0C7"/>
    <w:rPr>
      <w:rFonts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0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0C7"/>
    <w:rPr>
      <w:rFonts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C7"/>
    <w:rPr>
      <w:rFonts w:ascii="Segoe U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duscol.education.fr/physique-chimie/actualites/actualites/article/phypho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audacity.fr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martens</dc:creator>
  <cp:lastModifiedBy>Sophie MOUSTIER</cp:lastModifiedBy>
  <cp:revision>4</cp:revision>
  <dcterms:created xsi:type="dcterms:W3CDTF">2020-05-05T12:35:00Z</dcterms:created>
  <dcterms:modified xsi:type="dcterms:W3CDTF">2020-05-07T07:25:00Z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