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666" w:rsidRDefault="00F10666" w:rsidP="00F10666">
      <w:pPr>
        <w:pStyle w:val="Titre3"/>
        <w:spacing w:after="0"/>
        <w:ind w:left="-5"/>
      </w:pPr>
      <w:r>
        <w:t xml:space="preserve">Constitution et transformations de la matière </w:t>
      </w:r>
    </w:p>
    <w:tbl>
      <w:tblPr>
        <w:tblStyle w:val="TableGrid"/>
        <w:tblW w:w="10372" w:type="dxa"/>
        <w:tblInd w:w="-29" w:type="dxa"/>
        <w:tblCellMar>
          <w:top w:w="62" w:type="dxa"/>
          <w:left w:w="26" w:type="dxa"/>
          <w:bottom w:w="0" w:type="dxa"/>
          <w:right w:w="0" w:type="dxa"/>
        </w:tblCellMar>
        <w:tblLook w:val="04A0" w:firstRow="1" w:lastRow="0" w:firstColumn="1" w:lastColumn="0" w:noHBand="0" w:noVBand="1"/>
      </w:tblPr>
      <w:tblGrid>
        <w:gridCol w:w="4135"/>
        <w:gridCol w:w="6237"/>
      </w:tblGrid>
      <w:tr w:rsidR="00F10666" w:rsidTr="00FE68E3">
        <w:trPr>
          <w:trHeight w:val="23"/>
        </w:trPr>
        <w:tc>
          <w:tcPr>
            <w:tcW w:w="10372" w:type="dxa"/>
            <w:gridSpan w:val="2"/>
            <w:tcBorders>
              <w:top w:val="single" w:sz="4" w:space="0" w:color="000000"/>
              <w:left w:val="single" w:sz="4" w:space="0" w:color="000000"/>
              <w:bottom w:val="single" w:sz="4" w:space="0" w:color="000000"/>
              <w:right w:val="single" w:sz="4" w:space="0" w:color="000000"/>
            </w:tcBorders>
            <w:shd w:val="clear" w:color="auto" w:fill="17818E"/>
            <w:vAlign w:val="center"/>
          </w:tcPr>
          <w:p w:rsidR="00F10666" w:rsidRDefault="00F10666" w:rsidP="009524BB">
            <w:pPr>
              <w:spacing w:line="259" w:lineRule="auto"/>
              <w:ind w:left="58"/>
            </w:pPr>
            <w:r>
              <w:rPr>
                <w:rFonts w:ascii="Arial" w:eastAsia="Arial" w:hAnsi="Arial" w:cs="Arial"/>
                <w:b/>
                <w:color w:val="FFFFFF"/>
              </w:rPr>
              <w:t>1. Constitution de la matière de l’échelle macroscopique à l’échelle microscopique</w:t>
            </w:r>
            <w:r>
              <w:rPr>
                <w:rFonts w:ascii="Arial" w:eastAsia="Arial" w:hAnsi="Arial" w:cs="Arial"/>
                <w:b/>
                <w:color w:val="FFFFFF"/>
                <w:sz w:val="28"/>
              </w:rPr>
              <w:t xml:space="preserve"> </w:t>
            </w:r>
          </w:p>
        </w:tc>
      </w:tr>
      <w:tr w:rsidR="0031431D" w:rsidRPr="00FE68E3" w:rsidTr="00FE68E3">
        <w:trPr>
          <w:trHeight w:val="23"/>
        </w:trPr>
        <w:tc>
          <w:tcPr>
            <w:tcW w:w="4135" w:type="dxa"/>
            <w:tcBorders>
              <w:top w:val="single" w:sz="4" w:space="0" w:color="000000"/>
              <w:left w:val="single" w:sz="4" w:space="0" w:color="000000"/>
              <w:bottom w:val="single" w:sz="4" w:space="0" w:color="000000"/>
              <w:right w:val="single" w:sz="4" w:space="0" w:color="000000"/>
            </w:tcBorders>
            <w:vAlign w:val="center"/>
          </w:tcPr>
          <w:p w:rsidR="0031431D" w:rsidRPr="00FE68E3" w:rsidRDefault="0031431D" w:rsidP="009524BB">
            <w:pPr>
              <w:spacing w:line="259" w:lineRule="auto"/>
              <w:ind w:right="30"/>
              <w:jc w:val="center"/>
              <w:rPr>
                <w:sz w:val="20"/>
                <w:szCs w:val="20"/>
              </w:rPr>
            </w:pPr>
            <w:r w:rsidRPr="00FE68E3">
              <w:rPr>
                <w:rFonts w:ascii="Arial" w:eastAsia="Arial" w:hAnsi="Arial" w:cs="Arial"/>
                <w:b/>
                <w:sz w:val="20"/>
                <w:szCs w:val="20"/>
              </w:rPr>
              <w:t xml:space="preserve">Notions et contenus </w:t>
            </w:r>
          </w:p>
        </w:tc>
        <w:tc>
          <w:tcPr>
            <w:tcW w:w="6237" w:type="dxa"/>
            <w:tcBorders>
              <w:top w:val="single" w:sz="4" w:space="0" w:color="000000"/>
              <w:left w:val="single" w:sz="4" w:space="0" w:color="000000"/>
              <w:bottom w:val="single" w:sz="4" w:space="0" w:color="000000"/>
              <w:right w:val="single" w:sz="4" w:space="0" w:color="000000"/>
            </w:tcBorders>
          </w:tcPr>
          <w:p w:rsidR="0031431D" w:rsidRPr="00FE68E3" w:rsidRDefault="0031431D" w:rsidP="00A442BC">
            <w:pPr>
              <w:spacing w:after="43" w:line="259" w:lineRule="auto"/>
              <w:ind w:right="26"/>
              <w:jc w:val="center"/>
              <w:rPr>
                <w:sz w:val="20"/>
                <w:szCs w:val="20"/>
              </w:rPr>
            </w:pPr>
            <w:r w:rsidRPr="00FE68E3">
              <w:rPr>
                <w:rFonts w:ascii="Arial" w:eastAsia="Arial" w:hAnsi="Arial" w:cs="Arial"/>
                <w:b/>
                <w:sz w:val="20"/>
                <w:szCs w:val="20"/>
              </w:rPr>
              <w:t xml:space="preserve">Capacités exigibles </w:t>
            </w:r>
          </w:p>
        </w:tc>
      </w:tr>
      <w:tr w:rsidR="0031431D" w:rsidTr="00FE68E3">
        <w:trPr>
          <w:trHeight w:val="23"/>
        </w:trPr>
        <w:tc>
          <w:tcPr>
            <w:tcW w:w="10372" w:type="dxa"/>
            <w:gridSpan w:val="2"/>
            <w:tcBorders>
              <w:top w:val="single" w:sz="4" w:space="0" w:color="000000"/>
              <w:left w:val="single" w:sz="4" w:space="0" w:color="000000"/>
              <w:bottom w:val="single" w:sz="4" w:space="0" w:color="000000"/>
              <w:right w:val="single" w:sz="4" w:space="0" w:color="000000"/>
            </w:tcBorders>
            <w:vAlign w:val="center"/>
          </w:tcPr>
          <w:p w:rsidR="0031431D" w:rsidRDefault="0031431D" w:rsidP="00FE68E3">
            <w:pPr>
              <w:spacing w:line="259" w:lineRule="auto"/>
              <w:ind w:left="113"/>
            </w:pPr>
            <w:r>
              <w:rPr>
                <w:color w:val="007F9F"/>
              </w:rPr>
              <w:t>A) Description et caractérisation de la matière à l’échelle macroscopique</w:t>
            </w:r>
            <w:r>
              <w:rPr>
                <w:color w:val="31849B"/>
              </w:rPr>
              <w:t xml:space="preserve"> </w:t>
            </w:r>
          </w:p>
        </w:tc>
      </w:tr>
      <w:tr w:rsidR="0031431D" w:rsidTr="00A442BC">
        <w:tblPrEx>
          <w:tblCellMar>
            <w:top w:w="92" w:type="dxa"/>
            <w:left w:w="0" w:type="dxa"/>
          </w:tblCellMar>
        </w:tblPrEx>
        <w:trPr>
          <w:trHeight w:val="1348"/>
        </w:trPr>
        <w:tc>
          <w:tcPr>
            <w:tcW w:w="4135" w:type="dxa"/>
            <w:tcBorders>
              <w:top w:val="single" w:sz="4" w:space="0" w:color="000000"/>
              <w:left w:val="single" w:sz="4" w:space="0" w:color="000000"/>
              <w:bottom w:val="nil"/>
              <w:right w:val="single" w:sz="4" w:space="0" w:color="000000"/>
            </w:tcBorders>
          </w:tcPr>
          <w:p w:rsidR="0031431D" w:rsidRDefault="0031431D" w:rsidP="009524BB">
            <w:pPr>
              <w:spacing w:after="65" w:line="238" w:lineRule="auto"/>
            </w:pPr>
            <w:r>
              <w:rPr>
                <w:rFonts w:ascii="Arial" w:eastAsia="Arial" w:hAnsi="Arial" w:cs="Arial"/>
                <w:b/>
              </w:rPr>
              <w:t xml:space="preserve">Les solutions aqueuses, un exemple de mélange. </w:t>
            </w:r>
          </w:p>
          <w:p w:rsidR="0031431D" w:rsidRDefault="0031431D" w:rsidP="009524BB">
            <w:pPr>
              <w:spacing w:after="38" w:line="259" w:lineRule="auto"/>
            </w:pPr>
            <w:r>
              <w:t xml:space="preserve">Solvant, soluté. </w:t>
            </w:r>
          </w:p>
          <w:p w:rsidR="0031431D" w:rsidRDefault="0031431D" w:rsidP="009524BB">
            <w:pPr>
              <w:spacing w:line="259" w:lineRule="auto"/>
            </w:pPr>
            <w:r>
              <w:t>Concentration en masse, concentration maximale d’un soluté.</w:t>
            </w:r>
            <w:r>
              <w:rPr>
                <w:rFonts w:ascii="Arial" w:eastAsia="Arial" w:hAnsi="Arial" w:cs="Arial"/>
                <w:b/>
              </w:rPr>
              <w:t xml:space="preserve"> </w:t>
            </w:r>
          </w:p>
        </w:tc>
        <w:tc>
          <w:tcPr>
            <w:tcW w:w="6237" w:type="dxa"/>
            <w:tcBorders>
              <w:top w:val="single" w:sz="4" w:space="0" w:color="000000"/>
              <w:left w:val="single" w:sz="4" w:space="0" w:color="000000"/>
              <w:bottom w:val="nil"/>
              <w:right w:val="single" w:sz="4" w:space="0" w:color="000000"/>
            </w:tcBorders>
          </w:tcPr>
          <w:p w:rsidR="0031431D" w:rsidRDefault="0031431D" w:rsidP="009524BB">
            <w:pPr>
              <w:spacing w:after="36" w:line="267" w:lineRule="auto"/>
            </w:pPr>
            <w:r>
              <w:t xml:space="preserve">Identifier le soluté et le solvant à partir de la composition ou du mode opératoire de préparation d’une solution. Distinguer la masse volumique d’un échantillon et la concentration en masse d’un soluté au sein d’une solution. </w:t>
            </w:r>
          </w:p>
          <w:p w:rsidR="0031431D" w:rsidRDefault="0031431D" w:rsidP="00A442BC">
            <w:pPr>
              <w:spacing w:line="256" w:lineRule="auto"/>
            </w:pPr>
            <w:r>
              <w:t xml:space="preserve">Déterminer la valeur de la concentration en masse d’un soluté à partir du mode opératoire de préparation d’une solution par dissolution ou par dilution. </w:t>
            </w:r>
          </w:p>
        </w:tc>
      </w:tr>
      <w:tr w:rsidR="0031431D" w:rsidTr="00A442BC">
        <w:tblPrEx>
          <w:tblCellMar>
            <w:top w:w="92" w:type="dxa"/>
            <w:left w:w="0" w:type="dxa"/>
          </w:tblCellMar>
        </w:tblPrEx>
        <w:trPr>
          <w:trHeight w:val="407"/>
        </w:trPr>
        <w:tc>
          <w:tcPr>
            <w:tcW w:w="4135" w:type="dxa"/>
            <w:tcBorders>
              <w:top w:val="nil"/>
              <w:left w:val="single" w:sz="4" w:space="0" w:color="000000"/>
              <w:bottom w:val="single" w:sz="4" w:space="0" w:color="000000"/>
              <w:right w:val="single" w:sz="4" w:space="0" w:color="000000"/>
            </w:tcBorders>
          </w:tcPr>
          <w:p w:rsidR="0031431D" w:rsidRDefault="0031431D" w:rsidP="009524BB">
            <w:pPr>
              <w:spacing w:line="259" w:lineRule="auto"/>
            </w:pPr>
            <w:r>
              <w:t>Dosage par étalonnage.</w:t>
            </w:r>
            <w:r>
              <w:rPr>
                <w:rFonts w:ascii="Arial" w:eastAsia="Arial" w:hAnsi="Arial" w:cs="Arial"/>
                <w:b/>
              </w:rPr>
              <w:t xml:space="preserve"> </w:t>
            </w:r>
          </w:p>
        </w:tc>
        <w:tc>
          <w:tcPr>
            <w:tcW w:w="6237" w:type="dxa"/>
            <w:tcBorders>
              <w:top w:val="nil"/>
              <w:left w:val="single" w:sz="4" w:space="0" w:color="000000"/>
              <w:bottom w:val="single" w:sz="4" w:space="0" w:color="000000"/>
              <w:right w:val="single" w:sz="4" w:space="0" w:color="000000"/>
            </w:tcBorders>
          </w:tcPr>
          <w:p w:rsidR="0031431D" w:rsidRDefault="0031431D" w:rsidP="009524BB">
            <w:pPr>
              <w:spacing w:after="89" w:line="239" w:lineRule="auto"/>
            </w:pPr>
            <w:r>
              <w:t xml:space="preserve">Déterminer la valeur d’une concentration en masse et d’une concentration maximale à partir de résultats expérimentaux. </w:t>
            </w:r>
          </w:p>
          <w:p w:rsidR="0031431D" w:rsidRDefault="0031431D" w:rsidP="00D94D26">
            <w:pPr>
              <w:spacing w:line="259" w:lineRule="auto"/>
            </w:pPr>
            <w:r>
              <w:rPr>
                <w:rFonts w:ascii="Arial" w:eastAsia="Arial" w:hAnsi="Arial" w:cs="Arial"/>
                <w:b/>
              </w:rPr>
              <w:t xml:space="preserve">Capacité mathématique : </w:t>
            </w:r>
            <w:r>
              <w:t xml:space="preserve">utiliser une grandeur quotient pour déterminer le numérateur ou le dénominateur. </w:t>
            </w:r>
          </w:p>
        </w:tc>
      </w:tr>
      <w:tr w:rsidR="0031431D" w:rsidTr="00A442BC">
        <w:tblPrEx>
          <w:tblCellMar>
            <w:top w:w="92" w:type="dxa"/>
            <w:left w:w="0" w:type="dxa"/>
          </w:tblCellMar>
        </w:tblPrEx>
        <w:trPr>
          <w:trHeight w:val="23"/>
        </w:trPr>
        <w:tc>
          <w:tcPr>
            <w:tcW w:w="10372" w:type="dxa"/>
            <w:gridSpan w:val="2"/>
            <w:tcBorders>
              <w:top w:val="single" w:sz="4" w:space="0" w:color="000000"/>
              <w:left w:val="single" w:sz="4" w:space="0" w:color="000000"/>
              <w:bottom w:val="single" w:sz="4" w:space="0" w:color="000000"/>
              <w:right w:val="single" w:sz="4" w:space="0" w:color="000000"/>
            </w:tcBorders>
            <w:vAlign w:val="center"/>
          </w:tcPr>
          <w:p w:rsidR="0031431D" w:rsidRDefault="0031431D" w:rsidP="009524BB">
            <w:pPr>
              <w:spacing w:line="259" w:lineRule="auto"/>
              <w:ind w:left="113"/>
            </w:pPr>
            <w:r>
              <w:rPr>
                <w:color w:val="007F9F"/>
              </w:rPr>
              <w:t xml:space="preserve">B) Modélisation de la matière à l’échelle microscopique </w:t>
            </w:r>
          </w:p>
        </w:tc>
      </w:tr>
      <w:tr w:rsidR="0031431D" w:rsidTr="00FE68E3">
        <w:tblPrEx>
          <w:tblCellMar>
            <w:top w:w="92" w:type="dxa"/>
            <w:left w:w="0" w:type="dxa"/>
          </w:tblCellMar>
        </w:tblPrEx>
        <w:trPr>
          <w:trHeight w:val="495"/>
        </w:trPr>
        <w:tc>
          <w:tcPr>
            <w:tcW w:w="4135" w:type="dxa"/>
            <w:tcBorders>
              <w:top w:val="single" w:sz="4" w:space="0" w:color="000000"/>
              <w:left w:val="single" w:sz="4" w:space="0" w:color="000000"/>
              <w:bottom w:val="single" w:sz="4" w:space="0" w:color="000000"/>
              <w:right w:val="single" w:sz="4" w:space="0" w:color="000000"/>
            </w:tcBorders>
          </w:tcPr>
          <w:p w:rsidR="00F10666" w:rsidRDefault="00F10666" w:rsidP="00F10666">
            <w:pPr>
              <w:spacing w:after="42" w:line="257" w:lineRule="auto"/>
            </w:pPr>
            <w:r>
              <w:rPr>
                <w:rFonts w:ascii="Arial" w:eastAsia="Arial" w:hAnsi="Arial" w:cs="Arial"/>
                <w:b/>
              </w:rPr>
              <w:t xml:space="preserve">Du macroscopique au microscopique, de l’espèce chimique à l’entité. </w:t>
            </w:r>
          </w:p>
          <w:p w:rsidR="0031431D" w:rsidRDefault="0031431D" w:rsidP="009524BB">
            <w:pPr>
              <w:spacing w:line="259" w:lineRule="auto"/>
              <w:ind w:left="29"/>
            </w:pPr>
            <w:r>
              <w:t>Entités chimiques : molécules, atomes, ions.</w:t>
            </w:r>
            <w:r>
              <w:rPr>
                <w:rFonts w:ascii="Arial" w:eastAsia="Arial" w:hAnsi="Arial" w:cs="Arial"/>
                <w:b/>
                <w:color w:val="31849B"/>
              </w:rPr>
              <w:t xml:space="preserve"> </w:t>
            </w:r>
          </w:p>
        </w:tc>
        <w:tc>
          <w:tcPr>
            <w:tcW w:w="6237" w:type="dxa"/>
            <w:tcBorders>
              <w:top w:val="single" w:sz="4" w:space="0" w:color="000000"/>
              <w:left w:val="single" w:sz="4" w:space="0" w:color="000000"/>
              <w:bottom w:val="single" w:sz="4" w:space="0" w:color="000000"/>
              <w:right w:val="single" w:sz="4" w:space="0" w:color="000000"/>
            </w:tcBorders>
          </w:tcPr>
          <w:p w:rsidR="0031431D" w:rsidRDefault="0031431D" w:rsidP="009524BB">
            <w:pPr>
              <w:spacing w:line="259" w:lineRule="auto"/>
              <w:ind w:left="29"/>
            </w:pPr>
            <w:r>
              <w:t xml:space="preserve">Utiliser le terme adapté parmi </w:t>
            </w:r>
            <w:r>
              <w:rPr>
                <w:rFonts w:ascii="Arial" w:eastAsia="Arial" w:hAnsi="Arial" w:cs="Arial"/>
                <w:i/>
              </w:rPr>
              <w:t>molécule</w:t>
            </w:r>
            <w:r>
              <w:t xml:space="preserve">, </w:t>
            </w:r>
            <w:r>
              <w:rPr>
                <w:rFonts w:ascii="Arial" w:eastAsia="Arial" w:hAnsi="Arial" w:cs="Arial"/>
                <w:i/>
              </w:rPr>
              <w:t>atome</w:t>
            </w:r>
            <w:r>
              <w:t xml:space="preserve">, </w:t>
            </w:r>
            <w:r>
              <w:rPr>
                <w:rFonts w:ascii="Arial" w:eastAsia="Arial" w:hAnsi="Arial" w:cs="Arial"/>
                <w:i/>
              </w:rPr>
              <w:t>anion</w:t>
            </w:r>
            <w:r>
              <w:t xml:space="preserve"> et </w:t>
            </w:r>
            <w:r>
              <w:rPr>
                <w:rFonts w:ascii="Arial" w:eastAsia="Arial" w:hAnsi="Arial" w:cs="Arial"/>
                <w:i/>
              </w:rPr>
              <w:t>cation</w:t>
            </w:r>
            <w:r>
              <w:t xml:space="preserve"> pour qualifier une entité chimique à partir d’une formule chimique donnée. </w:t>
            </w:r>
          </w:p>
        </w:tc>
      </w:tr>
      <w:tr w:rsidR="00D94D26" w:rsidTr="00FE68E3">
        <w:tblPrEx>
          <w:tblCellMar>
            <w:top w:w="92" w:type="dxa"/>
            <w:left w:w="0" w:type="dxa"/>
          </w:tblCellMar>
        </w:tblPrEx>
        <w:tc>
          <w:tcPr>
            <w:tcW w:w="4135" w:type="dxa"/>
            <w:tcBorders>
              <w:top w:val="single" w:sz="4" w:space="0" w:color="000000"/>
              <w:left w:val="single" w:sz="4" w:space="0" w:color="000000"/>
              <w:bottom w:val="single" w:sz="4" w:space="0" w:color="000000"/>
              <w:right w:val="single" w:sz="4" w:space="0" w:color="000000"/>
            </w:tcBorders>
          </w:tcPr>
          <w:p w:rsidR="00D94D26" w:rsidRDefault="00D94D26" w:rsidP="00FE68E3">
            <w:pPr>
              <w:spacing w:after="25" w:line="259" w:lineRule="auto"/>
              <w:ind w:left="29"/>
            </w:pPr>
            <w:r>
              <w:rPr>
                <w:rFonts w:ascii="Arial" w:eastAsia="Arial" w:hAnsi="Arial" w:cs="Arial"/>
                <w:b/>
              </w:rPr>
              <w:t xml:space="preserve">Le noyau de l’atome, siège de sa masse et de son identité. </w:t>
            </w:r>
            <w:r>
              <w:t xml:space="preserve">Numéro atomique, nombre de masse, écriture conventionnelle : </w:t>
            </w:r>
            <w:r>
              <w:rPr>
                <w:rFonts w:ascii="Cambria Math" w:eastAsia="Cambria Math" w:hAnsi="Cambria Math" w:cs="Cambria Math"/>
                <w:vertAlign w:val="superscript"/>
              </w:rPr>
              <w:t>𝐴</w:t>
            </w:r>
            <w:r>
              <w:rPr>
                <w:rFonts w:ascii="Cambria Math" w:eastAsia="Cambria Math" w:hAnsi="Cambria Math" w:cs="Cambria Math"/>
                <w:vertAlign w:val="subscript"/>
              </w:rPr>
              <w:t>𝑍</w:t>
            </w:r>
            <w:r>
              <w:rPr>
                <w:rFonts w:ascii="Cambria Math" w:eastAsia="Cambria Math" w:hAnsi="Cambria Math" w:cs="Cambria Math"/>
              </w:rPr>
              <w:t>𝑋</w:t>
            </w:r>
            <w:r>
              <w:t xml:space="preserve"> ou </w:t>
            </w:r>
            <w:r>
              <w:rPr>
                <w:rFonts w:ascii="Cambria Math" w:eastAsia="Cambria Math" w:hAnsi="Cambria Math" w:cs="Cambria Math"/>
                <w:vertAlign w:val="superscript"/>
              </w:rPr>
              <w:t>𝐴</w:t>
            </w:r>
            <w:r>
              <w:rPr>
                <w:rFonts w:ascii="Cambria Math" w:eastAsia="Cambria Math" w:hAnsi="Cambria Math" w:cs="Cambria Math"/>
              </w:rPr>
              <w:t>𝑋</w:t>
            </w:r>
            <w:r>
              <w:t xml:space="preserve">. </w:t>
            </w:r>
          </w:p>
          <w:p w:rsidR="00D94D26" w:rsidRDefault="00D94D26" w:rsidP="009524BB">
            <w:pPr>
              <w:spacing w:after="38" w:line="259" w:lineRule="auto"/>
              <w:ind w:left="29"/>
            </w:pPr>
            <w:r>
              <w:t xml:space="preserve">Élément chimique. </w:t>
            </w:r>
          </w:p>
          <w:p w:rsidR="00D94D26" w:rsidRDefault="00D94D26" w:rsidP="009524BB">
            <w:pPr>
              <w:spacing w:line="259" w:lineRule="auto"/>
              <w:ind w:left="29"/>
            </w:pPr>
            <w:r>
              <w:t>Masse et charge électrique d’un électron, d’un proton et d’un neutron, charge électrique élémentaire, neutralité de l’atome.</w:t>
            </w:r>
            <w:r>
              <w:rPr>
                <w:rFonts w:ascii="Arial" w:eastAsia="Arial" w:hAnsi="Arial" w:cs="Arial"/>
                <w:b/>
                <w:color w:val="31849B"/>
              </w:rPr>
              <w:t xml:space="preserve"> </w:t>
            </w:r>
          </w:p>
        </w:tc>
        <w:tc>
          <w:tcPr>
            <w:tcW w:w="6237" w:type="dxa"/>
            <w:tcBorders>
              <w:top w:val="single" w:sz="4" w:space="0" w:color="000000"/>
              <w:left w:val="single" w:sz="4" w:space="0" w:color="000000"/>
              <w:bottom w:val="single" w:sz="4" w:space="0" w:color="000000"/>
              <w:right w:val="single" w:sz="4" w:space="0" w:color="000000"/>
            </w:tcBorders>
          </w:tcPr>
          <w:p w:rsidR="00D94D26" w:rsidRDefault="00D94D26" w:rsidP="009524BB">
            <w:pPr>
              <w:spacing w:after="62" w:line="238" w:lineRule="auto"/>
              <w:ind w:left="29"/>
            </w:pPr>
            <w:r>
              <w:t xml:space="preserve">Citer l’ordre de grandeur de la valeur de la taille d’un atome. </w:t>
            </w:r>
          </w:p>
          <w:p w:rsidR="00D94D26" w:rsidRDefault="00D94D26" w:rsidP="009524BB">
            <w:pPr>
              <w:spacing w:after="60" w:line="238" w:lineRule="auto"/>
              <w:ind w:left="29"/>
            </w:pPr>
            <w:r>
              <w:t xml:space="preserve">Comparer la taille et la masse d’un atome et de son noyau. </w:t>
            </w:r>
          </w:p>
          <w:p w:rsidR="00D94D26" w:rsidRDefault="00D94D26" w:rsidP="009524BB">
            <w:pPr>
              <w:spacing w:after="55"/>
              <w:ind w:left="29"/>
            </w:pPr>
            <w:r>
              <w:t xml:space="preserve">Établir l’écriture conventionnelle d’un noyau à partir de sa composition et inversement. </w:t>
            </w:r>
          </w:p>
          <w:p w:rsidR="00D94D26" w:rsidRDefault="00D94D26" w:rsidP="009524BB">
            <w:pPr>
              <w:spacing w:line="259" w:lineRule="auto"/>
              <w:ind w:left="29" w:right="19"/>
            </w:pPr>
            <w:r>
              <w:rPr>
                <w:rFonts w:ascii="Arial" w:eastAsia="Arial" w:hAnsi="Arial" w:cs="Arial"/>
                <w:b/>
              </w:rPr>
              <w:t>Capacités mathématiques</w:t>
            </w:r>
            <w:r>
              <w:t xml:space="preserve"> : effectuer le quotient de deux grandeurs pour les comparer. Utiliser les opérations sur les puissances de 10. Exprimer les valeurs des grandeurs en écriture scientifique. </w:t>
            </w:r>
          </w:p>
        </w:tc>
      </w:tr>
      <w:tr w:rsidR="0031431D" w:rsidTr="00FE68E3">
        <w:tblPrEx>
          <w:tblCellMar>
            <w:top w:w="92" w:type="dxa"/>
            <w:left w:w="0" w:type="dxa"/>
          </w:tblCellMar>
        </w:tblPrEx>
        <w:trPr>
          <w:trHeight w:val="23"/>
        </w:trPr>
        <w:tc>
          <w:tcPr>
            <w:tcW w:w="4135" w:type="dxa"/>
            <w:tcBorders>
              <w:top w:val="single" w:sz="4" w:space="0" w:color="000000"/>
              <w:left w:val="single" w:sz="4" w:space="0" w:color="000000"/>
              <w:bottom w:val="single" w:sz="4" w:space="0" w:color="000000"/>
              <w:right w:val="single" w:sz="4" w:space="0" w:color="000000"/>
            </w:tcBorders>
          </w:tcPr>
          <w:p w:rsidR="0031431D" w:rsidRDefault="0031431D" w:rsidP="009524BB">
            <w:pPr>
              <w:spacing w:after="61" w:line="239" w:lineRule="auto"/>
              <w:ind w:left="29"/>
            </w:pPr>
            <w:r>
              <w:rPr>
                <w:rFonts w:ascii="Arial" w:eastAsia="Arial" w:hAnsi="Arial" w:cs="Arial"/>
                <w:b/>
              </w:rPr>
              <w:t xml:space="preserve">Le cortège électronique de l’atome définit ses propriétés chimiques. </w:t>
            </w:r>
          </w:p>
          <w:p w:rsidR="0031431D" w:rsidRDefault="0031431D" w:rsidP="009524BB">
            <w:pPr>
              <w:spacing w:after="2" w:line="259" w:lineRule="auto"/>
              <w:ind w:left="29"/>
            </w:pPr>
            <w:r>
              <w:t>Configuration électronique (1s, 2s,</w:t>
            </w:r>
          </w:p>
          <w:p w:rsidR="0031431D" w:rsidRDefault="0031431D" w:rsidP="009524BB">
            <w:pPr>
              <w:spacing w:after="61" w:line="239" w:lineRule="auto"/>
              <w:ind w:left="29"/>
            </w:pPr>
            <w:r>
              <w:t xml:space="preserve">2p, 3s, 3p) d’un atome à l’état fondamental et position dans le tableau périodique (blocs s et p). </w:t>
            </w:r>
          </w:p>
          <w:p w:rsidR="0031431D" w:rsidRDefault="0031431D" w:rsidP="009524BB">
            <w:pPr>
              <w:spacing w:after="38" w:line="259" w:lineRule="auto"/>
              <w:ind w:left="29"/>
            </w:pPr>
            <w:r>
              <w:t xml:space="preserve">Électrons de valence. </w:t>
            </w:r>
          </w:p>
          <w:p w:rsidR="0031431D" w:rsidRDefault="0031431D" w:rsidP="009524BB">
            <w:pPr>
              <w:spacing w:line="259" w:lineRule="auto"/>
              <w:ind w:left="29"/>
            </w:pPr>
            <w:r>
              <w:t xml:space="preserve">Familles chimiques. </w:t>
            </w:r>
          </w:p>
        </w:tc>
        <w:tc>
          <w:tcPr>
            <w:tcW w:w="6237" w:type="dxa"/>
            <w:tcBorders>
              <w:top w:val="single" w:sz="4" w:space="0" w:color="000000"/>
              <w:left w:val="single" w:sz="4" w:space="0" w:color="000000"/>
              <w:bottom w:val="single" w:sz="4" w:space="0" w:color="000000"/>
              <w:right w:val="single" w:sz="4" w:space="0" w:color="000000"/>
            </w:tcBorders>
          </w:tcPr>
          <w:p w:rsidR="0031431D" w:rsidRDefault="0031431D" w:rsidP="009524BB">
            <w:pPr>
              <w:spacing w:after="84" w:line="257" w:lineRule="auto"/>
              <w:ind w:left="29"/>
            </w:pPr>
            <w:r>
              <w:t xml:space="preserve">Déterminer la position de l’élément dans le tableau périodique à partir de la donnée de la configuration électronique de l’atome à l’état fondamental. </w:t>
            </w:r>
          </w:p>
          <w:p w:rsidR="0031431D" w:rsidRDefault="0031431D" w:rsidP="009524BB">
            <w:pPr>
              <w:spacing w:line="259" w:lineRule="auto"/>
              <w:ind w:left="29" w:hanging="58"/>
            </w:pPr>
            <w:r>
              <w:t xml:space="preserve"> Déterminer les électrons de valence d’un atome (Z </w:t>
            </w:r>
            <w:r>
              <w:rPr>
                <w:rFonts w:ascii="Cambria Math" w:eastAsia="Cambria Math" w:hAnsi="Cambria Math" w:cs="Cambria Math"/>
              </w:rPr>
              <w:t>⩽</w:t>
            </w:r>
            <w:r>
              <w:t xml:space="preserve"> 18) à partir de sa configuration électronique à l’état fondamental ou de sa position dans le tableau périodique. Associer la notion de famille chimique à l’existence de propriétés communes et identifier la famille des gaz nobles. </w:t>
            </w:r>
          </w:p>
        </w:tc>
      </w:tr>
      <w:tr w:rsidR="0031431D" w:rsidTr="00FE68E3">
        <w:tblPrEx>
          <w:tblCellMar>
            <w:top w:w="92" w:type="dxa"/>
            <w:left w:w="0" w:type="dxa"/>
          </w:tblCellMar>
        </w:tblPrEx>
        <w:trPr>
          <w:trHeight w:val="1818"/>
        </w:trPr>
        <w:tc>
          <w:tcPr>
            <w:tcW w:w="4135" w:type="dxa"/>
            <w:tcBorders>
              <w:top w:val="single" w:sz="4" w:space="0" w:color="000000"/>
              <w:left w:val="single" w:sz="4" w:space="0" w:color="000000"/>
              <w:bottom w:val="nil"/>
              <w:right w:val="single" w:sz="4" w:space="0" w:color="000000"/>
            </w:tcBorders>
          </w:tcPr>
          <w:p w:rsidR="0031431D" w:rsidRDefault="0031431D" w:rsidP="009524BB">
            <w:pPr>
              <w:spacing w:after="60"/>
              <w:ind w:left="29"/>
            </w:pPr>
            <w:r>
              <w:rPr>
                <w:rFonts w:ascii="Arial" w:eastAsia="Arial" w:hAnsi="Arial" w:cs="Arial"/>
                <w:b/>
              </w:rPr>
              <w:t xml:space="preserve">Vers des entités plus stables chimiquement. </w:t>
            </w:r>
          </w:p>
          <w:p w:rsidR="0031431D" w:rsidRDefault="0031431D" w:rsidP="009524BB">
            <w:pPr>
              <w:spacing w:after="59" w:line="239" w:lineRule="auto"/>
              <w:ind w:left="29"/>
            </w:pPr>
            <w:r>
              <w:t xml:space="preserve">Stabilité chimique des gaz nobles et configurations électroniques associées. </w:t>
            </w:r>
          </w:p>
          <w:p w:rsidR="0031431D" w:rsidRDefault="0031431D" w:rsidP="009524BB">
            <w:pPr>
              <w:spacing w:line="259" w:lineRule="auto"/>
              <w:ind w:left="29"/>
            </w:pPr>
            <w:r>
              <w:t xml:space="preserve">Ions monoatomiques. </w:t>
            </w:r>
          </w:p>
        </w:tc>
        <w:tc>
          <w:tcPr>
            <w:tcW w:w="6237" w:type="dxa"/>
            <w:tcBorders>
              <w:top w:val="single" w:sz="4" w:space="0" w:color="000000"/>
              <w:left w:val="single" w:sz="4" w:space="0" w:color="000000"/>
              <w:bottom w:val="nil"/>
              <w:right w:val="single" w:sz="4" w:space="0" w:color="000000"/>
            </w:tcBorders>
          </w:tcPr>
          <w:p w:rsidR="0031431D" w:rsidRDefault="0031431D" w:rsidP="009524BB">
            <w:pPr>
              <w:spacing w:after="17" w:line="271" w:lineRule="auto"/>
              <w:ind w:left="29" w:right="361"/>
            </w:pPr>
            <w:r>
              <w:t xml:space="preserve">Établir le lien entre stabilité chimique et configuration électronique de valence d’un gaz noble. Déterminer la charge électrique d’ions monoatomiques courants à partir du tableau périodique. </w:t>
            </w:r>
          </w:p>
          <w:p w:rsidR="0031431D" w:rsidRDefault="0031431D" w:rsidP="009524BB">
            <w:pPr>
              <w:spacing w:line="259" w:lineRule="auto"/>
              <w:ind w:left="29"/>
            </w:pPr>
            <w:r>
              <w:t>Nommer les ions : H</w:t>
            </w:r>
            <w:r>
              <w:rPr>
                <w:vertAlign w:val="superscript"/>
              </w:rPr>
              <w:t>+</w:t>
            </w:r>
            <w:r>
              <w:t>, Na</w:t>
            </w:r>
            <w:r>
              <w:rPr>
                <w:vertAlign w:val="superscript"/>
              </w:rPr>
              <w:t>+</w:t>
            </w:r>
            <w:r>
              <w:t>, K</w:t>
            </w:r>
            <w:r>
              <w:rPr>
                <w:vertAlign w:val="superscript"/>
              </w:rPr>
              <w:t>+</w:t>
            </w:r>
            <w:r>
              <w:t>, Ca</w:t>
            </w:r>
            <w:r>
              <w:rPr>
                <w:vertAlign w:val="superscript"/>
              </w:rPr>
              <w:t>2+</w:t>
            </w:r>
            <w:r>
              <w:t>, Mg</w:t>
            </w:r>
            <w:r>
              <w:rPr>
                <w:vertAlign w:val="superscript"/>
              </w:rPr>
              <w:t>2+</w:t>
            </w:r>
            <w:r>
              <w:t>, Cl</w:t>
            </w:r>
            <w:r>
              <w:rPr>
                <w:vertAlign w:val="superscript"/>
              </w:rPr>
              <w:t>-</w:t>
            </w:r>
            <w:r>
              <w:t>, F</w:t>
            </w:r>
            <w:r>
              <w:rPr>
                <w:vertAlign w:val="superscript"/>
              </w:rPr>
              <w:t>-</w:t>
            </w:r>
            <w:r>
              <w:t xml:space="preserve"> ; écrire leur formule à partir de leur nom. </w:t>
            </w:r>
          </w:p>
        </w:tc>
      </w:tr>
      <w:tr w:rsidR="0031431D" w:rsidTr="00FE68E3">
        <w:tblPrEx>
          <w:tblCellMar>
            <w:top w:w="92" w:type="dxa"/>
            <w:left w:w="0" w:type="dxa"/>
          </w:tblCellMar>
        </w:tblPrEx>
        <w:trPr>
          <w:trHeight w:val="1511"/>
        </w:trPr>
        <w:tc>
          <w:tcPr>
            <w:tcW w:w="4135" w:type="dxa"/>
            <w:tcBorders>
              <w:top w:val="nil"/>
              <w:left w:val="single" w:sz="4" w:space="0" w:color="000000"/>
              <w:bottom w:val="single" w:sz="4" w:space="0" w:color="000000"/>
              <w:right w:val="single" w:sz="4" w:space="0" w:color="000000"/>
            </w:tcBorders>
          </w:tcPr>
          <w:p w:rsidR="0031431D" w:rsidRDefault="0031431D" w:rsidP="009524BB">
            <w:pPr>
              <w:spacing w:after="40" w:line="259" w:lineRule="auto"/>
              <w:ind w:left="29"/>
            </w:pPr>
            <w:r>
              <w:lastRenderedPageBreak/>
              <w:t xml:space="preserve">Molécules. </w:t>
            </w:r>
          </w:p>
          <w:p w:rsidR="0031431D" w:rsidRDefault="0031431D" w:rsidP="009524BB">
            <w:pPr>
              <w:spacing w:after="101" w:line="238" w:lineRule="auto"/>
              <w:ind w:left="29"/>
            </w:pPr>
            <w:r>
              <w:t xml:space="preserve">Modèle de Lewis de la liaison de valence, schéma de Lewis, doublets liants et non-liants. </w:t>
            </w:r>
          </w:p>
          <w:p w:rsidR="0031431D" w:rsidRDefault="0031431D" w:rsidP="009524BB">
            <w:pPr>
              <w:spacing w:line="259" w:lineRule="auto"/>
              <w:ind w:left="29"/>
            </w:pPr>
            <w:r>
              <w:t xml:space="preserve">Approche de l’énergie de liaison. </w:t>
            </w:r>
          </w:p>
        </w:tc>
        <w:tc>
          <w:tcPr>
            <w:tcW w:w="6237" w:type="dxa"/>
            <w:tcBorders>
              <w:top w:val="nil"/>
              <w:left w:val="single" w:sz="4" w:space="0" w:color="000000"/>
              <w:bottom w:val="single" w:sz="4" w:space="0" w:color="000000"/>
              <w:right w:val="single" w:sz="4" w:space="0" w:color="000000"/>
            </w:tcBorders>
          </w:tcPr>
          <w:p w:rsidR="0031431D" w:rsidRDefault="0031431D" w:rsidP="009524BB">
            <w:pPr>
              <w:spacing w:line="259" w:lineRule="auto"/>
              <w:ind w:left="29"/>
            </w:pPr>
            <w:r>
              <w:t xml:space="preserve">Décrire et exploiter le schéma de Lewis d’une molécule pour justifier la stabilisation de cette entité, en référence aux gaz nobles, par rapport aux atomes isolés (Z </w:t>
            </w:r>
            <w:r>
              <w:rPr>
                <w:rFonts w:ascii="Cambria Math" w:eastAsia="Cambria Math" w:hAnsi="Cambria Math" w:cs="Cambria Math"/>
              </w:rPr>
              <w:t>⩽</w:t>
            </w:r>
            <w:r>
              <w:t xml:space="preserve"> 18). Associer qualitativement l’énergie d’une liaison entre deux atomes à l’énergie nécessaire pour rompre cette liaison. </w:t>
            </w:r>
          </w:p>
        </w:tc>
      </w:tr>
      <w:tr w:rsidR="0031431D" w:rsidTr="00FE68E3">
        <w:tblPrEx>
          <w:tblCellMar>
            <w:top w:w="92" w:type="dxa"/>
            <w:left w:w="0" w:type="dxa"/>
          </w:tblCellMar>
        </w:tblPrEx>
        <w:trPr>
          <w:trHeight w:val="1611"/>
        </w:trPr>
        <w:tc>
          <w:tcPr>
            <w:tcW w:w="4135" w:type="dxa"/>
            <w:tcBorders>
              <w:top w:val="single" w:sz="4" w:space="0" w:color="000000"/>
              <w:left w:val="single" w:sz="4" w:space="0" w:color="000000"/>
              <w:bottom w:val="single" w:sz="4" w:space="0" w:color="000000"/>
              <w:right w:val="single" w:sz="4" w:space="0" w:color="000000"/>
            </w:tcBorders>
          </w:tcPr>
          <w:p w:rsidR="0031431D" w:rsidRDefault="0031431D" w:rsidP="009524BB">
            <w:pPr>
              <w:spacing w:after="38" w:line="259" w:lineRule="auto"/>
              <w:ind w:left="29" w:right="150"/>
            </w:pPr>
            <w:r>
              <w:rPr>
                <w:rFonts w:ascii="Arial" w:eastAsia="Arial" w:hAnsi="Arial" w:cs="Arial"/>
                <w:b/>
              </w:rPr>
              <w:t xml:space="preserve">Compter les entités dans un échantillon de matière. </w:t>
            </w:r>
            <w:r>
              <w:t xml:space="preserve">Nombre d’entités dans un échantillon. </w:t>
            </w:r>
          </w:p>
          <w:p w:rsidR="0031431D" w:rsidRDefault="0031431D" w:rsidP="009524BB">
            <w:pPr>
              <w:spacing w:after="40" w:line="259" w:lineRule="auto"/>
              <w:ind w:left="29"/>
            </w:pPr>
            <w:r>
              <w:t xml:space="preserve">Définition de la mole. </w:t>
            </w:r>
          </w:p>
          <w:p w:rsidR="0031431D" w:rsidRDefault="0031431D" w:rsidP="009524BB">
            <w:pPr>
              <w:spacing w:line="259" w:lineRule="auto"/>
              <w:ind w:left="29"/>
            </w:pPr>
            <w:r>
              <w:t>Quantité de matière dans un échantillon.</w:t>
            </w:r>
            <w:r>
              <w:rPr>
                <w:rFonts w:ascii="Arial" w:eastAsia="Arial" w:hAnsi="Arial" w:cs="Arial"/>
                <w:b/>
              </w:rPr>
              <w:t xml:space="preserve"> </w:t>
            </w:r>
          </w:p>
        </w:tc>
        <w:tc>
          <w:tcPr>
            <w:tcW w:w="6237" w:type="dxa"/>
            <w:tcBorders>
              <w:top w:val="single" w:sz="4" w:space="0" w:color="000000"/>
              <w:left w:val="single" w:sz="4" w:space="0" w:color="000000"/>
              <w:bottom w:val="single" w:sz="4" w:space="0" w:color="000000"/>
              <w:right w:val="single" w:sz="4" w:space="0" w:color="000000"/>
            </w:tcBorders>
          </w:tcPr>
          <w:p w:rsidR="0031431D" w:rsidRDefault="0031431D" w:rsidP="009524BB">
            <w:pPr>
              <w:spacing w:after="62" w:line="238" w:lineRule="auto"/>
              <w:ind w:left="29"/>
            </w:pPr>
            <w:r>
              <w:t xml:space="preserve">Déterminer la masse d’une entité à partir de sa formule brute et de la masse des atomes qui la composent. </w:t>
            </w:r>
          </w:p>
          <w:p w:rsidR="0031431D" w:rsidRDefault="0031431D" w:rsidP="009524BB">
            <w:pPr>
              <w:spacing w:line="259" w:lineRule="auto"/>
              <w:ind w:left="29"/>
            </w:pPr>
            <w:r>
              <w:t xml:space="preserve">Déterminer le nombre d’entités et la quantité de matière (en mol) d’une espèce dans une masse d’échantillon. </w:t>
            </w:r>
          </w:p>
        </w:tc>
      </w:tr>
      <w:tr w:rsidR="00F10666" w:rsidTr="00FE68E3">
        <w:tblPrEx>
          <w:tblCellMar>
            <w:top w:w="93" w:type="dxa"/>
          </w:tblCellMar>
        </w:tblPrEx>
        <w:trPr>
          <w:trHeight w:val="22"/>
        </w:trPr>
        <w:tc>
          <w:tcPr>
            <w:tcW w:w="10372" w:type="dxa"/>
            <w:gridSpan w:val="2"/>
            <w:tcBorders>
              <w:top w:val="single" w:sz="4" w:space="0" w:color="000000"/>
              <w:left w:val="single" w:sz="4" w:space="0" w:color="000000"/>
              <w:bottom w:val="single" w:sz="4" w:space="0" w:color="000000"/>
              <w:right w:val="single" w:sz="4" w:space="0" w:color="000000"/>
            </w:tcBorders>
            <w:shd w:val="clear" w:color="auto" w:fill="17818E"/>
            <w:vAlign w:val="center"/>
          </w:tcPr>
          <w:p w:rsidR="00F10666" w:rsidRDefault="00F10666" w:rsidP="009524BB">
            <w:pPr>
              <w:spacing w:line="259" w:lineRule="auto"/>
              <w:ind w:left="58"/>
            </w:pPr>
            <w:r>
              <w:rPr>
                <w:rFonts w:ascii="Arial" w:eastAsia="Arial" w:hAnsi="Arial" w:cs="Arial"/>
                <w:b/>
                <w:color w:val="FFFFFF"/>
              </w:rPr>
              <w:t>2. Modélisation des transformations de la matière et transfert d’énergie</w:t>
            </w:r>
            <w:r>
              <w:rPr>
                <w:rFonts w:ascii="Arial" w:eastAsia="Arial" w:hAnsi="Arial" w:cs="Arial"/>
                <w:b/>
                <w:color w:val="FFFFFF"/>
                <w:sz w:val="28"/>
              </w:rPr>
              <w:t xml:space="preserve"> </w:t>
            </w:r>
          </w:p>
        </w:tc>
      </w:tr>
      <w:tr w:rsidR="00F10666" w:rsidRPr="00FE68E3" w:rsidTr="00FE68E3">
        <w:tblPrEx>
          <w:tblCellMar>
            <w:top w:w="93" w:type="dxa"/>
          </w:tblCellMar>
        </w:tblPrEx>
        <w:trPr>
          <w:trHeight w:val="22"/>
        </w:trPr>
        <w:tc>
          <w:tcPr>
            <w:tcW w:w="4135" w:type="dxa"/>
            <w:tcBorders>
              <w:top w:val="single" w:sz="4" w:space="0" w:color="000000"/>
              <w:left w:val="single" w:sz="4" w:space="0" w:color="000000"/>
              <w:bottom w:val="single" w:sz="4" w:space="0" w:color="000000"/>
              <w:right w:val="single" w:sz="4" w:space="0" w:color="000000"/>
            </w:tcBorders>
            <w:vAlign w:val="center"/>
          </w:tcPr>
          <w:p w:rsidR="00F10666" w:rsidRPr="00FE68E3" w:rsidRDefault="00F10666" w:rsidP="009524BB">
            <w:pPr>
              <w:spacing w:line="259" w:lineRule="auto"/>
              <w:ind w:right="27"/>
              <w:jc w:val="center"/>
              <w:rPr>
                <w:sz w:val="20"/>
                <w:szCs w:val="20"/>
              </w:rPr>
            </w:pPr>
            <w:r w:rsidRPr="00FE68E3">
              <w:rPr>
                <w:rFonts w:ascii="Arial" w:eastAsia="Arial" w:hAnsi="Arial" w:cs="Arial"/>
                <w:b/>
                <w:sz w:val="20"/>
                <w:szCs w:val="20"/>
              </w:rPr>
              <w:t xml:space="preserve">Notions et contenus </w:t>
            </w:r>
          </w:p>
        </w:tc>
        <w:tc>
          <w:tcPr>
            <w:tcW w:w="6237" w:type="dxa"/>
            <w:tcBorders>
              <w:top w:val="single" w:sz="4" w:space="0" w:color="000000"/>
              <w:left w:val="single" w:sz="4" w:space="0" w:color="000000"/>
              <w:bottom w:val="single" w:sz="4" w:space="0" w:color="000000"/>
              <w:right w:val="single" w:sz="4" w:space="0" w:color="000000"/>
            </w:tcBorders>
          </w:tcPr>
          <w:p w:rsidR="00F10666" w:rsidRPr="00FE68E3" w:rsidRDefault="00F10666" w:rsidP="00A442BC">
            <w:pPr>
              <w:spacing w:after="43" w:line="259" w:lineRule="auto"/>
              <w:ind w:right="23"/>
              <w:jc w:val="center"/>
              <w:rPr>
                <w:sz w:val="20"/>
                <w:szCs w:val="20"/>
              </w:rPr>
            </w:pPr>
            <w:r w:rsidRPr="00FE68E3">
              <w:rPr>
                <w:rFonts w:ascii="Arial" w:eastAsia="Arial" w:hAnsi="Arial" w:cs="Arial"/>
                <w:b/>
                <w:sz w:val="20"/>
                <w:szCs w:val="20"/>
              </w:rPr>
              <w:t xml:space="preserve">Capacités exigibles </w:t>
            </w:r>
          </w:p>
        </w:tc>
      </w:tr>
      <w:tr w:rsidR="00F10666" w:rsidTr="00FE68E3">
        <w:tblPrEx>
          <w:tblCellMar>
            <w:top w:w="93" w:type="dxa"/>
          </w:tblCellMar>
        </w:tblPrEx>
        <w:trPr>
          <w:trHeight w:val="22"/>
        </w:trPr>
        <w:tc>
          <w:tcPr>
            <w:tcW w:w="10372" w:type="dxa"/>
            <w:gridSpan w:val="2"/>
            <w:tcBorders>
              <w:top w:val="single" w:sz="4" w:space="0" w:color="000000"/>
              <w:left w:val="single" w:sz="4" w:space="0" w:color="000000"/>
              <w:bottom w:val="single" w:sz="4" w:space="0" w:color="000000"/>
              <w:right w:val="single" w:sz="4" w:space="0" w:color="000000"/>
            </w:tcBorders>
            <w:vAlign w:val="center"/>
          </w:tcPr>
          <w:p w:rsidR="00F10666" w:rsidRDefault="00F10666" w:rsidP="009524BB">
            <w:pPr>
              <w:spacing w:line="259" w:lineRule="auto"/>
              <w:ind w:left="113"/>
            </w:pPr>
            <w:r>
              <w:rPr>
                <w:color w:val="007F9F"/>
              </w:rPr>
              <w:t xml:space="preserve">B) Transformation chimique </w:t>
            </w:r>
          </w:p>
        </w:tc>
      </w:tr>
      <w:tr w:rsidR="00F10666" w:rsidTr="00FE68E3">
        <w:tblPrEx>
          <w:tblCellMar>
            <w:top w:w="93" w:type="dxa"/>
          </w:tblCellMar>
        </w:tblPrEx>
        <w:trPr>
          <w:trHeight w:val="22"/>
        </w:trPr>
        <w:tc>
          <w:tcPr>
            <w:tcW w:w="4135" w:type="dxa"/>
            <w:tcBorders>
              <w:top w:val="single" w:sz="4" w:space="0" w:color="000000"/>
              <w:left w:val="single" w:sz="4" w:space="0" w:color="000000"/>
              <w:bottom w:val="single" w:sz="4" w:space="0" w:color="000000"/>
              <w:right w:val="single" w:sz="4" w:space="0" w:color="000000"/>
            </w:tcBorders>
          </w:tcPr>
          <w:p w:rsidR="00F10666" w:rsidRDefault="00F10666" w:rsidP="009524BB">
            <w:pPr>
              <w:spacing w:after="59"/>
              <w:ind w:right="108"/>
            </w:pPr>
            <w:r>
              <w:t xml:space="preserve">Modélisation macroscopique d’une transformation par une réaction chimique. </w:t>
            </w:r>
          </w:p>
          <w:p w:rsidR="00F10666" w:rsidRDefault="00F10666" w:rsidP="009524BB">
            <w:pPr>
              <w:spacing w:after="96"/>
            </w:pPr>
            <w:r>
              <w:t xml:space="preserve">Écriture symbolique d’une réaction chimique. </w:t>
            </w:r>
          </w:p>
          <w:p w:rsidR="00F10666" w:rsidRDefault="00F10666" w:rsidP="009524BB">
            <w:pPr>
              <w:spacing w:after="76" w:line="259" w:lineRule="auto"/>
            </w:pPr>
            <w:r>
              <w:t xml:space="preserve">Notion d’espèce spectatrice. </w:t>
            </w:r>
          </w:p>
          <w:p w:rsidR="00F10666" w:rsidRDefault="00F10666" w:rsidP="009524BB">
            <w:pPr>
              <w:spacing w:line="259" w:lineRule="auto"/>
            </w:pPr>
            <w:r>
              <w:t xml:space="preserve">Stœchiométrie, réactif limitant. Transformations chimiques endothermiques et exothermiques. </w:t>
            </w:r>
          </w:p>
        </w:tc>
        <w:tc>
          <w:tcPr>
            <w:tcW w:w="6237" w:type="dxa"/>
            <w:tcBorders>
              <w:top w:val="single" w:sz="4" w:space="0" w:color="000000"/>
              <w:left w:val="single" w:sz="4" w:space="0" w:color="000000"/>
              <w:bottom w:val="single" w:sz="4" w:space="0" w:color="000000"/>
              <w:right w:val="single" w:sz="4" w:space="0" w:color="000000"/>
            </w:tcBorders>
          </w:tcPr>
          <w:p w:rsidR="00F10666" w:rsidRDefault="00F10666" w:rsidP="009524BB">
            <w:pPr>
              <w:spacing w:after="40" w:line="257" w:lineRule="auto"/>
            </w:pPr>
            <w:r>
              <w:t xml:space="preserve">Modéliser, à partir de données expérimentales, une transformation par une réaction, établir l’équation de réaction associée et l’ajuster. </w:t>
            </w:r>
          </w:p>
          <w:p w:rsidR="00F10666" w:rsidRDefault="00F10666" w:rsidP="009524BB">
            <w:pPr>
              <w:spacing w:after="58"/>
            </w:pPr>
            <w:r>
              <w:t xml:space="preserve">Identifier le réactif limitant à partir des quantités de matière des réactifs et de l'équation de réaction. </w:t>
            </w:r>
          </w:p>
          <w:p w:rsidR="00F10666" w:rsidRDefault="00F10666" w:rsidP="009524BB">
            <w:pPr>
              <w:spacing w:after="58" w:line="255" w:lineRule="auto"/>
            </w:pPr>
            <w:r>
              <w:t xml:space="preserve">Modéliser, par l’écriture d’une équation de réaction, la combustion du carbone et du méthane, la corrosion d’un métal par un acide, l’action d’un acide sur le calcaire, l’action de l’acide chlorhydrique sur l’hydroxyde de sodium en solution. </w:t>
            </w:r>
          </w:p>
          <w:p w:rsidR="00F10666" w:rsidRDefault="00F10666" w:rsidP="009524BB">
            <w:pPr>
              <w:spacing w:line="259" w:lineRule="auto"/>
            </w:pPr>
            <w:r>
              <w:rPr>
                <w:rFonts w:ascii="Arial" w:eastAsia="Arial" w:hAnsi="Arial" w:cs="Arial"/>
                <w:b/>
              </w:rPr>
              <w:t>Capacité mathématique</w:t>
            </w:r>
            <w:r>
              <w:t xml:space="preserve"> : utiliser la proportionnalité.</w:t>
            </w:r>
            <w:r>
              <w:rPr>
                <w:rFonts w:ascii="Arial" w:eastAsia="Arial" w:hAnsi="Arial" w:cs="Arial"/>
                <w:i/>
              </w:rPr>
              <w:t xml:space="preserve"> </w:t>
            </w:r>
          </w:p>
        </w:tc>
      </w:tr>
      <w:tr w:rsidR="00F10666" w:rsidTr="00FE68E3">
        <w:tblPrEx>
          <w:tblCellMar>
            <w:top w:w="93" w:type="dxa"/>
          </w:tblCellMar>
        </w:tblPrEx>
        <w:trPr>
          <w:trHeight w:val="22"/>
        </w:trPr>
        <w:tc>
          <w:tcPr>
            <w:tcW w:w="4135" w:type="dxa"/>
            <w:tcBorders>
              <w:top w:val="single" w:sz="4" w:space="0" w:color="000000"/>
              <w:left w:val="single" w:sz="4" w:space="0" w:color="000000"/>
              <w:bottom w:val="single" w:sz="4" w:space="0" w:color="000000"/>
              <w:right w:val="single" w:sz="4" w:space="0" w:color="000000"/>
            </w:tcBorders>
          </w:tcPr>
          <w:p w:rsidR="00F10666" w:rsidRDefault="00F10666" w:rsidP="009524BB">
            <w:pPr>
              <w:spacing w:line="259" w:lineRule="auto"/>
            </w:pPr>
            <w:r>
              <w:t xml:space="preserve">Synthèse d’une espèce chimique présente dans la nature. </w:t>
            </w:r>
          </w:p>
        </w:tc>
        <w:tc>
          <w:tcPr>
            <w:tcW w:w="6237" w:type="dxa"/>
            <w:tcBorders>
              <w:top w:val="single" w:sz="4" w:space="0" w:color="000000"/>
              <w:left w:val="single" w:sz="4" w:space="0" w:color="000000"/>
              <w:bottom w:val="single" w:sz="4" w:space="0" w:color="000000"/>
              <w:right w:val="single" w:sz="4" w:space="0" w:color="000000"/>
            </w:tcBorders>
          </w:tcPr>
          <w:p w:rsidR="00F10666" w:rsidRDefault="00F10666" w:rsidP="009524BB">
            <w:pPr>
              <w:spacing w:after="59" w:line="239" w:lineRule="auto"/>
            </w:pPr>
            <w:r>
              <w:t xml:space="preserve">Établir, à partir de données expérimentales, qu’une espèce chimique synthétisée au laboratoire peut être identique à une espèce chimique synthétisée dans la nature. </w:t>
            </w:r>
          </w:p>
          <w:p w:rsidR="00F10666" w:rsidRDefault="00F10666" w:rsidP="00A442BC">
            <w:pPr>
              <w:spacing w:after="62" w:line="238" w:lineRule="auto"/>
            </w:pPr>
            <w:r>
              <w:t xml:space="preserve">Réaliser le schéma légendé d’un montage à reflux et d’une chromatographie sur couche mince.  </w:t>
            </w:r>
          </w:p>
        </w:tc>
      </w:tr>
    </w:tbl>
    <w:p w:rsidR="00F10666" w:rsidRDefault="00F10666" w:rsidP="00D94D26">
      <w:pPr>
        <w:pStyle w:val="Paragraphedeliste"/>
      </w:pPr>
      <w:r>
        <w:t xml:space="preserve"> </w:t>
      </w:r>
    </w:p>
    <w:p w:rsidR="00F10666" w:rsidRDefault="00F10666" w:rsidP="00D94D26">
      <w:pPr>
        <w:pStyle w:val="Titre3"/>
        <w:spacing w:after="0"/>
        <w:ind w:left="0" w:firstLine="0"/>
      </w:pPr>
      <w:r>
        <w:t xml:space="preserve">Mouvement et interactions </w:t>
      </w:r>
    </w:p>
    <w:tbl>
      <w:tblPr>
        <w:tblStyle w:val="TableGrid"/>
        <w:tblW w:w="10369" w:type="dxa"/>
        <w:tblInd w:w="-26" w:type="dxa"/>
        <w:tblCellMar>
          <w:top w:w="61" w:type="dxa"/>
          <w:left w:w="26" w:type="dxa"/>
          <w:bottom w:w="0" w:type="dxa"/>
          <w:right w:w="0" w:type="dxa"/>
        </w:tblCellMar>
        <w:tblLook w:val="04A0" w:firstRow="1" w:lastRow="0" w:firstColumn="1" w:lastColumn="0" w:noHBand="0" w:noVBand="1"/>
      </w:tblPr>
      <w:tblGrid>
        <w:gridCol w:w="4132"/>
        <w:gridCol w:w="6237"/>
      </w:tblGrid>
      <w:tr w:rsidR="00F10666" w:rsidRPr="00FE68E3" w:rsidTr="00FE68E3">
        <w:trPr>
          <w:trHeight w:val="24"/>
        </w:trPr>
        <w:tc>
          <w:tcPr>
            <w:tcW w:w="4132" w:type="dxa"/>
            <w:tcBorders>
              <w:top w:val="single" w:sz="4" w:space="0" w:color="000000"/>
              <w:left w:val="single" w:sz="4" w:space="0" w:color="000000"/>
              <w:bottom w:val="single" w:sz="12" w:space="0" w:color="17818E"/>
              <w:right w:val="single" w:sz="4" w:space="0" w:color="000000"/>
            </w:tcBorders>
            <w:vAlign w:val="center"/>
          </w:tcPr>
          <w:p w:rsidR="00F10666" w:rsidRPr="00FE68E3" w:rsidRDefault="00F10666" w:rsidP="009524BB">
            <w:pPr>
              <w:spacing w:line="259" w:lineRule="auto"/>
              <w:ind w:right="30"/>
              <w:jc w:val="center"/>
              <w:rPr>
                <w:sz w:val="20"/>
                <w:szCs w:val="20"/>
              </w:rPr>
            </w:pPr>
            <w:r w:rsidRPr="00FE68E3">
              <w:rPr>
                <w:rFonts w:ascii="Arial" w:eastAsia="Arial" w:hAnsi="Arial" w:cs="Arial"/>
                <w:b/>
                <w:sz w:val="20"/>
                <w:szCs w:val="20"/>
              </w:rPr>
              <w:t xml:space="preserve">Notions et contenus </w:t>
            </w:r>
          </w:p>
        </w:tc>
        <w:tc>
          <w:tcPr>
            <w:tcW w:w="6237" w:type="dxa"/>
            <w:tcBorders>
              <w:top w:val="single" w:sz="4" w:space="0" w:color="000000"/>
              <w:left w:val="single" w:sz="4" w:space="0" w:color="000000"/>
              <w:bottom w:val="single" w:sz="12" w:space="0" w:color="17818E"/>
              <w:right w:val="single" w:sz="4" w:space="0" w:color="000000"/>
            </w:tcBorders>
          </w:tcPr>
          <w:p w:rsidR="00F10666" w:rsidRPr="00FE68E3" w:rsidRDefault="00F10666" w:rsidP="00A442BC">
            <w:pPr>
              <w:spacing w:line="259" w:lineRule="auto"/>
              <w:ind w:right="26"/>
              <w:jc w:val="center"/>
              <w:rPr>
                <w:sz w:val="20"/>
                <w:szCs w:val="20"/>
              </w:rPr>
            </w:pPr>
            <w:r w:rsidRPr="00FE68E3">
              <w:rPr>
                <w:rFonts w:ascii="Arial" w:eastAsia="Arial" w:hAnsi="Arial" w:cs="Arial"/>
                <w:b/>
                <w:sz w:val="20"/>
                <w:szCs w:val="20"/>
              </w:rPr>
              <w:t xml:space="preserve">Capacités exigibles </w:t>
            </w:r>
          </w:p>
        </w:tc>
      </w:tr>
      <w:tr w:rsidR="00F10666" w:rsidTr="00FE68E3">
        <w:trPr>
          <w:trHeight w:val="19"/>
        </w:trPr>
        <w:tc>
          <w:tcPr>
            <w:tcW w:w="10369" w:type="dxa"/>
            <w:gridSpan w:val="2"/>
            <w:tcBorders>
              <w:top w:val="single" w:sz="12" w:space="0" w:color="17818E"/>
              <w:left w:val="single" w:sz="4" w:space="0" w:color="000000"/>
              <w:bottom w:val="single" w:sz="4" w:space="0" w:color="000000"/>
              <w:right w:val="single" w:sz="4" w:space="0" w:color="000000"/>
            </w:tcBorders>
            <w:shd w:val="clear" w:color="auto" w:fill="17818E"/>
            <w:vAlign w:val="center"/>
          </w:tcPr>
          <w:p w:rsidR="00F10666" w:rsidRDefault="00F10666" w:rsidP="009524BB">
            <w:pPr>
              <w:spacing w:line="259" w:lineRule="auto"/>
              <w:ind w:left="58"/>
            </w:pPr>
            <w:r>
              <w:rPr>
                <w:rFonts w:ascii="Arial" w:eastAsia="Arial" w:hAnsi="Arial" w:cs="Arial"/>
                <w:b/>
                <w:color w:val="FFFFFF"/>
              </w:rPr>
              <w:t xml:space="preserve">1. Décrire un mouvement </w:t>
            </w:r>
          </w:p>
        </w:tc>
      </w:tr>
      <w:tr w:rsidR="00F10666" w:rsidTr="00FE68E3">
        <w:trPr>
          <w:trHeight w:val="403"/>
        </w:trPr>
        <w:tc>
          <w:tcPr>
            <w:tcW w:w="4132" w:type="dxa"/>
            <w:tcBorders>
              <w:top w:val="single" w:sz="4" w:space="0" w:color="000000"/>
              <w:left w:val="single" w:sz="4" w:space="0" w:color="000000"/>
              <w:bottom w:val="nil"/>
              <w:right w:val="single" w:sz="4" w:space="0" w:color="000000"/>
            </w:tcBorders>
          </w:tcPr>
          <w:p w:rsidR="00F10666" w:rsidRDefault="00F10666" w:rsidP="009524BB">
            <w:pPr>
              <w:spacing w:after="38" w:line="259" w:lineRule="auto"/>
            </w:pPr>
            <w:r>
              <w:t xml:space="preserve">Système. </w:t>
            </w:r>
          </w:p>
          <w:p w:rsidR="00F10666" w:rsidRDefault="00F10666" w:rsidP="009524BB">
            <w:pPr>
              <w:spacing w:line="259" w:lineRule="auto"/>
            </w:pPr>
            <w:r>
              <w:t>Référentiel et relativité du mouvement.</w:t>
            </w:r>
            <w:r>
              <w:rPr>
                <w:rFonts w:ascii="Arial" w:eastAsia="Arial" w:hAnsi="Arial" w:cs="Arial"/>
                <w:b/>
                <w:color w:val="31849B"/>
              </w:rPr>
              <w:t xml:space="preserve"> </w:t>
            </w:r>
          </w:p>
        </w:tc>
        <w:tc>
          <w:tcPr>
            <w:tcW w:w="6237" w:type="dxa"/>
            <w:tcBorders>
              <w:top w:val="single" w:sz="4" w:space="0" w:color="000000"/>
              <w:left w:val="single" w:sz="4" w:space="0" w:color="000000"/>
              <w:bottom w:val="nil"/>
              <w:right w:val="single" w:sz="4" w:space="0" w:color="000000"/>
            </w:tcBorders>
          </w:tcPr>
          <w:p w:rsidR="00F10666" w:rsidRDefault="00F10666" w:rsidP="00F10666">
            <w:pPr>
              <w:spacing w:after="62" w:line="238" w:lineRule="auto"/>
            </w:pPr>
            <w:r>
              <w:t>C</w:t>
            </w:r>
            <w:r>
              <w:t xml:space="preserve">hoisir un référentiel pour décrire le mouvement d’un système. </w:t>
            </w:r>
          </w:p>
          <w:p w:rsidR="00F10666" w:rsidRDefault="00F10666" w:rsidP="009524BB">
            <w:pPr>
              <w:spacing w:line="259" w:lineRule="auto"/>
              <w:ind w:left="2"/>
            </w:pPr>
            <w:r>
              <w:t xml:space="preserve">Expliquer, dans le cas de la translation, l’influence du choix du référentiel sur la description du mouvement d’un système.  </w:t>
            </w:r>
          </w:p>
        </w:tc>
      </w:tr>
      <w:tr w:rsidR="00F10666" w:rsidTr="00FE68E3">
        <w:trPr>
          <w:trHeight w:val="506"/>
        </w:trPr>
        <w:tc>
          <w:tcPr>
            <w:tcW w:w="4132" w:type="dxa"/>
            <w:tcBorders>
              <w:top w:val="single" w:sz="4" w:space="0" w:color="000000"/>
              <w:left w:val="single" w:sz="4" w:space="0" w:color="000000"/>
              <w:bottom w:val="single" w:sz="12" w:space="0" w:color="17818E"/>
              <w:right w:val="single" w:sz="4" w:space="0" w:color="000000"/>
            </w:tcBorders>
          </w:tcPr>
          <w:p w:rsidR="00F10666" w:rsidRDefault="00F10666" w:rsidP="009524BB">
            <w:pPr>
              <w:spacing w:after="96" w:line="239" w:lineRule="auto"/>
            </w:pPr>
            <w:r>
              <w:t xml:space="preserve">Vecteur déplacement d’un point. Vecteur vitesse moyenne d'un point. </w:t>
            </w:r>
          </w:p>
          <w:p w:rsidR="00F10666" w:rsidRDefault="00F10666" w:rsidP="009524BB">
            <w:pPr>
              <w:spacing w:after="40" w:line="259" w:lineRule="auto"/>
            </w:pPr>
            <w:r>
              <w:t xml:space="preserve">Vecteur vitesse d’un point. </w:t>
            </w:r>
          </w:p>
          <w:p w:rsidR="00F10666" w:rsidRDefault="00F10666" w:rsidP="009524BB">
            <w:pPr>
              <w:spacing w:line="259" w:lineRule="auto"/>
            </w:pPr>
            <w:r>
              <w:t xml:space="preserve">Mouvement rectiligne. </w:t>
            </w:r>
          </w:p>
        </w:tc>
        <w:tc>
          <w:tcPr>
            <w:tcW w:w="6237" w:type="dxa"/>
            <w:tcBorders>
              <w:top w:val="single" w:sz="4" w:space="0" w:color="000000"/>
              <w:left w:val="single" w:sz="4" w:space="0" w:color="000000"/>
              <w:bottom w:val="single" w:sz="12" w:space="0" w:color="17818E"/>
              <w:right w:val="single" w:sz="4" w:space="0" w:color="000000"/>
            </w:tcBorders>
            <w:vAlign w:val="center"/>
          </w:tcPr>
          <w:p w:rsidR="00F10666" w:rsidRDefault="00FE68E3" w:rsidP="009524BB">
            <w:pPr>
              <w:spacing w:after="45" w:line="259" w:lineRule="auto"/>
              <w:ind w:left="2"/>
            </w:pPr>
            <w:r>
              <w:rPr>
                <w:rFonts w:ascii="Calibri" w:eastAsia="Calibri" w:hAnsi="Calibri" w:cs="Calibri"/>
                <w:noProof/>
              </w:rPr>
              <mc:AlternateContent>
                <mc:Choice Requires="wpg">
                  <w:drawing>
                    <wp:anchor distT="0" distB="0" distL="114300" distR="114300" simplePos="0" relativeHeight="251659264" behindDoc="1" locked="0" layoutInCell="1" allowOverlap="1" wp14:anchorId="75AB0EFE" wp14:editId="3E6B2C8C">
                      <wp:simplePos x="0" y="0"/>
                      <wp:positionH relativeFrom="column">
                        <wp:posOffset>4102100</wp:posOffset>
                      </wp:positionH>
                      <wp:positionV relativeFrom="paragraph">
                        <wp:posOffset>185420</wp:posOffset>
                      </wp:positionV>
                      <wp:extent cx="240030" cy="24765"/>
                      <wp:effectExtent l="0" t="0" r="0" b="0"/>
                      <wp:wrapNone/>
                      <wp:docPr id="26520" name="Group 26520"/>
                      <wp:cNvGraphicFramePr/>
                      <a:graphic xmlns:a="http://schemas.openxmlformats.org/drawingml/2006/main">
                        <a:graphicData uri="http://schemas.microsoft.com/office/word/2010/wordprocessingGroup">
                          <wpg:wgp>
                            <wpg:cNvGrpSpPr/>
                            <wpg:grpSpPr>
                              <a:xfrm>
                                <a:off x="0" y="0"/>
                                <a:ext cx="240030" cy="24765"/>
                                <a:chOff x="0" y="0"/>
                                <a:chExt cx="240423" cy="24924"/>
                              </a:xfrm>
                            </wpg:grpSpPr>
                            <wps:wsp>
                              <wps:cNvPr id="2636" name="Shape 2636"/>
                              <wps:cNvSpPr/>
                              <wps:spPr>
                                <a:xfrm>
                                  <a:off x="0" y="0"/>
                                  <a:ext cx="240423" cy="24924"/>
                                </a:xfrm>
                                <a:custGeom>
                                  <a:avLst/>
                                  <a:gdLst/>
                                  <a:ahLst/>
                                  <a:cxnLst/>
                                  <a:rect l="0" t="0" r="0" b="0"/>
                                  <a:pathLst>
                                    <a:path w="240423" h="24924">
                                      <a:moveTo>
                                        <a:pt x="214530" y="0"/>
                                      </a:moveTo>
                                      <a:lnTo>
                                        <a:pt x="240423" y="12609"/>
                                      </a:lnTo>
                                      <a:lnTo>
                                        <a:pt x="214530" y="24924"/>
                                      </a:lnTo>
                                      <a:lnTo>
                                        <a:pt x="218539" y="15834"/>
                                      </a:lnTo>
                                      <a:lnTo>
                                        <a:pt x="0" y="15834"/>
                                      </a:lnTo>
                                      <a:lnTo>
                                        <a:pt x="0" y="9383"/>
                                      </a:lnTo>
                                      <a:lnTo>
                                        <a:pt x="218539" y="9383"/>
                                      </a:lnTo>
                                      <a:lnTo>
                                        <a:pt x="21453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2994A792" id="Group 26520" o:spid="_x0000_s1026" style="position:absolute;margin-left:323pt;margin-top:14.6pt;width:18.9pt;height:1.95pt;z-index:-251657216;mso-width-relative:margin;mso-height-relative:margin" coordsize="240423,24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">
                      <v:shape id="Shape 2636" o:spid="_x0000_s1027" style="position:absolute;width:240423;height:24924;visibility:visible;mso-wrap-style:square;v-text-anchor:top" coordsize="240423,24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" path="m214530,r25893,12609l214530,24924r4009,-9090l,15834,,9383r218539,l214530,xe" fillcolor="black" stroked="f" strokeweight="0">
                        <v:stroke miterlimit="83231f" joinstyle="miter"/>
                        <v:path arrowok="t" textboxrect="0,0,240423,24924"/>
                      </v:shape>
                    </v:group>
                  </w:pict>
                </mc:Fallback>
              </mc:AlternateContent>
            </w:r>
            <w:r w:rsidR="00F10666">
              <w:t xml:space="preserve">Définir le vecteur vitesse moyenne d’un point. </w:t>
            </w:r>
          </w:p>
          <w:p w:rsidR="00F10666" w:rsidRDefault="00F10666" w:rsidP="009524BB">
            <w:pPr>
              <w:spacing w:after="31" w:line="268" w:lineRule="auto"/>
              <w:ind w:left="2"/>
            </w:pPr>
            <w:r>
              <w:t>Approcher le vecteur vitesse d'un point à l’aide du vecteur déplacement MM</w:t>
            </w:r>
            <w:proofErr w:type="gramStart"/>
            <w:r>
              <w:rPr>
                <w:rFonts w:ascii="Arial" w:eastAsia="Arial" w:hAnsi="Arial" w:cs="Arial"/>
                <w:i/>
              </w:rPr>
              <w:t xml:space="preserve">' </w:t>
            </w:r>
            <w:r>
              <w:t>,</w:t>
            </w:r>
            <w:proofErr w:type="gramEnd"/>
            <w:r>
              <w:t xml:space="preserve"> où M et M’</w:t>
            </w:r>
            <w:r>
              <w:rPr>
                <w:rFonts w:ascii="Arial" w:eastAsia="Arial" w:hAnsi="Arial" w:cs="Arial"/>
                <w:i/>
              </w:rPr>
              <w:t xml:space="preserve"> </w:t>
            </w:r>
            <w:r>
              <w:t xml:space="preserve">sont les positions successives à des instants voisins séparés de </w:t>
            </w:r>
            <w:proofErr w:type="spellStart"/>
            <w:r>
              <w:t>Δt</w:t>
            </w:r>
            <w:proofErr w:type="spellEnd"/>
            <w:r>
              <w:t xml:space="preserve"> ; le représenter. </w:t>
            </w:r>
          </w:p>
          <w:p w:rsidR="00F10666" w:rsidRDefault="00F10666" w:rsidP="009524BB">
            <w:pPr>
              <w:spacing w:after="60" w:line="238" w:lineRule="auto"/>
              <w:ind w:left="2"/>
            </w:pPr>
            <w:r>
              <w:t xml:space="preserve">Caractériser un mouvement rectiligne uniforme ou non uniforme. </w:t>
            </w:r>
          </w:p>
          <w:p w:rsidR="00F10666" w:rsidRDefault="00F10666" w:rsidP="009524BB">
            <w:pPr>
              <w:spacing w:after="30" w:line="265" w:lineRule="auto"/>
              <w:ind w:left="2"/>
            </w:pPr>
            <w:r>
              <w:rPr>
                <w:rFonts w:ascii="Arial" w:eastAsia="Arial" w:hAnsi="Arial" w:cs="Arial"/>
                <w:b/>
              </w:rPr>
              <w:t xml:space="preserve">Capacité numérique : </w:t>
            </w:r>
            <w:r>
              <w:t xml:space="preserve">représenter des vecteurs vitesse d’un système modélisé par un point lors d’un mouvement à l’aide d’un langage de programmation. </w:t>
            </w:r>
          </w:p>
          <w:p w:rsidR="00F10666" w:rsidRDefault="00F10666" w:rsidP="009524BB">
            <w:pPr>
              <w:spacing w:line="259" w:lineRule="auto"/>
              <w:ind w:left="2"/>
            </w:pPr>
            <w:r>
              <w:rPr>
                <w:rFonts w:ascii="Arial" w:eastAsia="Arial" w:hAnsi="Arial" w:cs="Arial"/>
                <w:b/>
              </w:rPr>
              <w:lastRenderedPageBreak/>
              <w:t>Capacités mathématiques :</w:t>
            </w:r>
            <w:r>
              <w:t xml:space="preserve"> représenter des vecteurs. </w:t>
            </w:r>
          </w:p>
          <w:p w:rsidR="00F10666" w:rsidRDefault="00F10666" w:rsidP="009524BB">
            <w:pPr>
              <w:spacing w:line="259" w:lineRule="auto"/>
              <w:ind w:left="2"/>
            </w:pPr>
            <w:r>
              <w:t xml:space="preserve">Utiliser des grandeurs algébriques. </w:t>
            </w:r>
          </w:p>
        </w:tc>
      </w:tr>
      <w:tr w:rsidR="00F10666" w:rsidTr="00FE68E3">
        <w:trPr>
          <w:trHeight w:val="19"/>
        </w:trPr>
        <w:tc>
          <w:tcPr>
            <w:tcW w:w="10369" w:type="dxa"/>
            <w:gridSpan w:val="2"/>
            <w:tcBorders>
              <w:top w:val="single" w:sz="12" w:space="0" w:color="17818E"/>
              <w:left w:val="single" w:sz="4" w:space="0" w:color="000000"/>
              <w:bottom w:val="single" w:sz="4" w:space="0" w:color="000000"/>
              <w:right w:val="single" w:sz="4" w:space="0" w:color="000000"/>
            </w:tcBorders>
            <w:shd w:val="clear" w:color="auto" w:fill="17818E"/>
            <w:vAlign w:val="center"/>
          </w:tcPr>
          <w:p w:rsidR="00F10666" w:rsidRDefault="00F10666" w:rsidP="009524BB">
            <w:pPr>
              <w:spacing w:line="259" w:lineRule="auto"/>
              <w:ind w:left="58"/>
            </w:pPr>
            <w:r>
              <w:rPr>
                <w:rFonts w:ascii="Arial" w:eastAsia="Arial" w:hAnsi="Arial" w:cs="Arial"/>
                <w:b/>
                <w:color w:val="FFFFFF"/>
              </w:rPr>
              <w:lastRenderedPageBreak/>
              <w:t xml:space="preserve">2. Modéliser une action sur un système </w:t>
            </w:r>
          </w:p>
        </w:tc>
      </w:tr>
      <w:tr w:rsidR="00F10666" w:rsidTr="00FE68E3">
        <w:trPr>
          <w:trHeight w:val="181"/>
        </w:trPr>
        <w:tc>
          <w:tcPr>
            <w:tcW w:w="4132" w:type="dxa"/>
            <w:tcBorders>
              <w:top w:val="single" w:sz="4" w:space="0" w:color="000000"/>
              <w:left w:val="single" w:sz="4" w:space="0" w:color="000000"/>
              <w:bottom w:val="nil"/>
              <w:right w:val="single" w:sz="4" w:space="0" w:color="000000"/>
            </w:tcBorders>
          </w:tcPr>
          <w:p w:rsidR="00F10666" w:rsidRDefault="00F10666" w:rsidP="009524BB">
            <w:pPr>
              <w:spacing w:line="259" w:lineRule="auto"/>
            </w:pPr>
            <w:r>
              <w:t xml:space="preserve">Modélisation d’une action par une force.  </w:t>
            </w:r>
          </w:p>
        </w:tc>
        <w:tc>
          <w:tcPr>
            <w:tcW w:w="6237" w:type="dxa"/>
            <w:tcBorders>
              <w:top w:val="single" w:sz="4" w:space="0" w:color="000000"/>
              <w:left w:val="single" w:sz="4" w:space="0" w:color="000000"/>
              <w:bottom w:val="nil"/>
              <w:right w:val="single" w:sz="4" w:space="0" w:color="000000"/>
            </w:tcBorders>
          </w:tcPr>
          <w:p w:rsidR="00F10666" w:rsidRDefault="00F10666" w:rsidP="009524BB">
            <w:pPr>
              <w:spacing w:line="259" w:lineRule="auto"/>
              <w:ind w:left="2"/>
            </w:pPr>
            <w:r>
              <w:t xml:space="preserve">Modéliser l’action d'un système extérieur sur le système étudié par une force. Représenter une force par un vecteur ayant une norme, une direction, un sens. </w:t>
            </w:r>
          </w:p>
        </w:tc>
      </w:tr>
      <w:tr w:rsidR="00F10666" w:rsidTr="00FE68E3">
        <w:trPr>
          <w:trHeight w:val="161"/>
        </w:trPr>
        <w:tc>
          <w:tcPr>
            <w:tcW w:w="4132" w:type="dxa"/>
            <w:tcBorders>
              <w:top w:val="nil"/>
              <w:left w:val="single" w:sz="4" w:space="0" w:color="000000"/>
              <w:bottom w:val="nil"/>
              <w:right w:val="single" w:sz="4" w:space="0" w:color="000000"/>
            </w:tcBorders>
          </w:tcPr>
          <w:p w:rsidR="00F10666" w:rsidRDefault="00F10666" w:rsidP="009524BB">
            <w:pPr>
              <w:spacing w:line="259" w:lineRule="auto"/>
            </w:pPr>
            <w:r>
              <w:t xml:space="preserve">Principe des actions réciproques (troisième loi de Newton). </w:t>
            </w:r>
          </w:p>
        </w:tc>
        <w:tc>
          <w:tcPr>
            <w:tcW w:w="6237" w:type="dxa"/>
            <w:tcBorders>
              <w:top w:val="nil"/>
              <w:left w:val="single" w:sz="4" w:space="0" w:color="000000"/>
              <w:bottom w:val="nil"/>
              <w:right w:val="single" w:sz="4" w:space="0" w:color="000000"/>
            </w:tcBorders>
          </w:tcPr>
          <w:p w:rsidR="00F10666" w:rsidRDefault="00F10666" w:rsidP="009524BB">
            <w:pPr>
              <w:spacing w:line="259" w:lineRule="auto"/>
              <w:ind w:left="2"/>
            </w:pPr>
            <w:r>
              <w:t xml:space="preserve">Exploiter le principe des actions réciproques. </w:t>
            </w:r>
          </w:p>
        </w:tc>
      </w:tr>
      <w:tr w:rsidR="00F10666" w:rsidTr="00FE68E3">
        <w:trPr>
          <w:trHeight w:val="852"/>
        </w:trPr>
        <w:tc>
          <w:tcPr>
            <w:tcW w:w="4132" w:type="dxa"/>
            <w:tcBorders>
              <w:top w:val="nil"/>
              <w:left w:val="single" w:sz="4" w:space="0" w:color="000000"/>
              <w:bottom w:val="single" w:sz="12" w:space="0" w:color="17818E"/>
              <w:right w:val="single" w:sz="4" w:space="0" w:color="000000"/>
            </w:tcBorders>
          </w:tcPr>
          <w:p w:rsidR="00F10666" w:rsidRDefault="00F10666" w:rsidP="009524BB">
            <w:pPr>
              <w:spacing w:after="114"/>
            </w:pPr>
            <w:r>
              <w:t xml:space="preserve">Caractéristiques d’une force. Exemples de forces : </w:t>
            </w:r>
          </w:p>
          <w:p w:rsidR="00F10666" w:rsidRDefault="00F10666" w:rsidP="00F10666">
            <w:pPr>
              <w:numPr>
                <w:ilvl w:val="0"/>
                <w:numId w:val="3"/>
              </w:numPr>
              <w:spacing w:after="25" w:line="254" w:lineRule="auto"/>
              <w:ind w:hanging="170"/>
            </w:pPr>
            <w:proofErr w:type="gramStart"/>
            <w:r>
              <w:t>force</w:t>
            </w:r>
            <w:proofErr w:type="gramEnd"/>
            <w:r>
              <w:t xml:space="preserve"> d’interaction gravitationnelle ; </w:t>
            </w:r>
          </w:p>
          <w:p w:rsidR="00F10666" w:rsidRDefault="00F10666" w:rsidP="00F10666">
            <w:pPr>
              <w:numPr>
                <w:ilvl w:val="0"/>
                <w:numId w:val="3"/>
              </w:numPr>
              <w:spacing w:line="259" w:lineRule="auto"/>
              <w:ind w:hanging="170"/>
            </w:pPr>
            <w:proofErr w:type="gramStart"/>
            <w:r>
              <w:t>poids</w:t>
            </w:r>
            <w:proofErr w:type="gramEnd"/>
            <w:r>
              <w:t xml:space="preserve"> ; </w:t>
            </w:r>
          </w:p>
          <w:p w:rsidR="00F10666" w:rsidRDefault="00F10666" w:rsidP="00F10666">
            <w:pPr>
              <w:numPr>
                <w:ilvl w:val="0"/>
                <w:numId w:val="3"/>
              </w:numPr>
              <w:spacing w:line="259" w:lineRule="auto"/>
              <w:ind w:hanging="170"/>
            </w:pPr>
            <w:proofErr w:type="gramStart"/>
            <w:r>
              <w:t>force</w:t>
            </w:r>
            <w:proofErr w:type="gramEnd"/>
            <w:r>
              <w:t xml:space="preserve"> exercée par un support et par un fil. </w:t>
            </w:r>
          </w:p>
        </w:tc>
        <w:tc>
          <w:tcPr>
            <w:tcW w:w="6237" w:type="dxa"/>
            <w:tcBorders>
              <w:top w:val="nil"/>
              <w:left w:val="single" w:sz="4" w:space="0" w:color="000000"/>
              <w:bottom w:val="single" w:sz="12" w:space="0" w:color="17818E"/>
              <w:right w:val="single" w:sz="4" w:space="0" w:color="000000"/>
            </w:tcBorders>
          </w:tcPr>
          <w:p w:rsidR="00F10666" w:rsidRDefault="00F10666" w:rsidP="009524BB">
            <w:pPr>
              <w:spacing w:after="40" w:line="259" w:lineRule="auto"/>
              <w:ind w:left="2"/>
            </w:pPr>
            <w:r>
              <w:t xml:space="preserve">Distinguer actions à distance et actions de contact. </w:t>
            </w:r>
          </w:p>
          <w:p w:rsidR="00F10666" w:rsidRDefault="00F10666" w:rsidP="009524BB">
            <w:pPr>
              <w:spacing w:after="26" w:line="270" w:lineRule="auto"/>
              <w:ind w:left="2" w:right="54"/>
            </w:pPr>
            <w:r>
              <w:t xml:space="preserve">Identifier les actions modélisées par des forces dont les expressions mathématiques sont connues </w:t>
            </w:r>
            <w:r>
              <w:rPr>
                <w:rFonts w:ascii="Arial" w:eastAsia="Arial" w:hAnsi="Arial" w:cs="Arial"/>
                <w:i/>
              </w:rPr>
              <w:t>a priori</w:t>
            </w:r>
            <w:r>
              <w:t xml:space="preserve">. Utiliser l’expression vectorielle de la force d’interaction gravitationnelle. </w:t>
            </w:r>
          </w:p>
          <w:p w:rsidR="00F10666" w:rsidRDefault="00F10666" w:rsidP="009524BB">
            <w:pPr>
              <w:spacing w:line="259" w:lineRule="auto"/>
              <w:ind w:left="2"/>
            </w:pPr>
            <w:r>
              <w:t>Utiliser l’expression vectorielle du poids d’un objet, approché par la force d’interaction gravitationnelle s’exerçant sur cet objet à la surface d’une planète. Représenter qualitativement la force modélisant l’action d’un support dans des cas simples relevant de la statique.</w:t>
            </w:r>
          </w:p>
        </w:tc>
      </w:tr>
      <w:tr w:rsidR="00F10666" w:rsidTr="00FE68E3">
        <w:tc>
          <w:tcPr>
            <w:tcW w:w="10369" w:type="dxa"/>
            <w:gridSpan w:val="2"/>
            <w:tcBorders>
              <w:top w:val="single" w:sz="12" w:space="0" w:color="17818E"/>
              <w:left w:val="single" w:sz="4" w:space="0" w:color="000000"/>
              <w:bottom w:val="single" w:sz="4" w:space="0" w:color="000000"/>
              <w:right w:val="single" w:sz="4" w:space="0" w:color="000000"/>
            </w:tcBorders>
            <w:shd w:val="clear" w:color="auto" w:fill="17818E"/>
            <w:vAlign w:val="center"/>
          </w:tcPr>
          <w:p w:rsidR="00F10666" w:rsidRDefault="00F10666" w:rsidP="009524BB">
            <w:pPr>
              <w:spacing w:line="259" w:lineRule="auto"/>
              <w:ind w:left="58"/>
            </w:pPr>
            <w:r>
              <w:rPr>
                <w:rFonts w:ascii="Arial" w:eastAsia="Arial" w:hAnsi="Arial" w:cs="Arial"/>
                <w:b/>
                <w:color w:val="FFFFFF"/>
              </w:rPr>
              <w:t xml:space="preserve">3. Principe d’inertie </w:t>
            </w:r>
          </w:p>
        </w:tc>
      </w:tr>
      <w:tr w:rsidR="00F10666" w:rsidTr="00AC0F81">
        <w:trPr>
          <w:trHeight w:val="24"/>
        </w:trPr>
        <w:tc>
          <w:tcPr>
            <w:tcW w:w="4132" w:type="dxa"/>
            <w:tcBorders>
              <w:top w:val="single" w:sz="4" w:space="0" w:color="000000"/>
              <w:left w:val="single" w:sz="4" w:space="0" w:color="000000"/>
              <w:bottom w:val="single" w:sz="4" w:space="0" w:color="000000"/>
              <w:right w:val="single" w:sz="4" w:space="0" w:color="000000"/>
            </w:tcBorders>
          </w:tcPr>
          <w:p w:rsidR="00F10666" w:rsidRDefault="00F10666" w:rsidP="009524BB">
            <w:pPr>
              <w:spacing w:after="75" w:line="259" w:lineRule="auto"/>
            </w:pPr>
            <w:r>
              <w:t xml:space="preserve">Modèle du point matériel. </w:t>
            </w:r>
          </w:p>
          <w:p w:rsidR="00F10666" w:rsidRDefault="00F10666" w:rsidP="009524BB">
            <w:pPr>
              <w:spacing w:after="40" w:line="259" w:lineRule="auto"/>
            </w:pPr>
            <w:r>
              <w:t xml:space="preserve">Principe d’inertie. </w:t>
            </w:r>
          </w:p>
          <w:p w:rsidR="00F10666" w:rsidRDefault="00F10666" w:rsidP="009524BB">
            <w:pPr>
              <w:spacing w:after="62" w:line="238" w:lineRule="auto"/>
            </w:pPr>
            <w:r>
              <w:t xml:space="preserve">Cas de situations d'immobilité et de mouvements rectilignes uniformes. </w:t>
            </w:r>
          </w:p>
          <w:p w:rsidR="00F10666" w:rsidRDefault="00F10666" w:rsidP="009524BB">
            <w:pPr>
              <w:spacing w:line="259" w:lineRule="auto"/>
            </w:pPr>
            <w:r>
              <w:t xml:space="preserve">Cas de la chute libre à une dimension. </w:t>
            </w:r>
          </w:p>
        </w:tc>
        <w:tc>
          <w:tcPr>
            <w:tcW w:w="6237" w:type="dxa"/>
            <w:tcBorders>
              <w:top w:val="single" w:sz="4" w:space="0" w:color="000000"/>
              <w:left w:val="single" w:sz="4" w:space="0" w:color="000000"/>
              <w:bottom w:val="single" w:sz="4" w:space="0" w:color="000000"/>
              <w:right w:val="single" w:sz="4" w:space="0" w:color="000000"/>
            </w:tcBorders>
          </w:tcPr>
          <w:p w:rsidR="00F10666" w:rsidRDefault="00F10666" w:rsidP="009524BB">
            <w:pPr>
              <w:spacing w:after="49" w:line="249" w:lineRule="auto"/>
              <w:ind w:left="2"/>
            </w:pPr>
            <w:r>
              <w:t xml:space="preserve">Exploiter le principe d’inertie ou sa contraposée pour en déduire des informations soit sur la nature du mouvement d’un système modélisé par un point matériel, soit sur les forces. </w:t>
            </w:r>
          </w:p>
          <w:p w:rsidR="00F10666" w:rsidRDefault="00F10666" w:rsidP="009524BB">
            <w:pPr>
              <w:spacing w:line="259" w:lineRule="auto"/>
              <w:ind w:left="2" w:right="6"/>
            </w:pPr>
            <w:r>
              <w:t xml:space="preserve">Relier la variation entre deux instants voisins du vecteur vitesse d’un système modélisé par un point matériel à l’existence d’actions extérieures modélisées par des forces dont la somme est non nulle, en particulier dans le cas d’un mouvement de chute libre à une dimension (avec ou sans vitesse initiale). </w:t>
            </w:r>
          </w:p>
        </w:tc>
      </w:tr>
    </w:tbl>
    <w:p w:rsidR="00F10666" w:rsidRDefault="00F10666" w:rsidP="00F10666">
      <w:pPr>
        <w:spacing w:after="0" w:line="259" w:lineRule="auto"/>
      </w:pPr>
      <w:r>
        <w:t xml:space="preserve"> </w:t>
      </w:r>
    </w:p>
    <w:p w:rsidR="00F10666" w:rsidRDefault="00F10666" w:rsidP="00F10666">
      <w:pPr>
        <w:pStyle w:val="Titre3"/>
        <w:spacing w:after="0"/>
        <w:ind w:left="-5"/>
      </w:pPr>
      <w:r>
        <w:t xml:space="preserve">Ondes et signaux </w:t>
      </w:r>
    </w:p>
    <w:tbl>
      <w:tblPr>
        <w:tblStyle w:val="TableGrid"/>
        <w:tblW w:w="10369" w:type="dxa"/>
        <w:tblInd w:w="-26" w:type="dxa"/>
        <w:tblCellMar>
          <w:top w:w="91" w:type="dxa"/>
          <w:left w:w="26" w:type="dxa"/>
          <w:bottom w:w="0" w:type="dxa"/>
          <w:right w:w="0" w:type="dxa"/>
        </w:tblCellMar>
        <w:tblLook w:val="04A0" w:firstRow="1" w:lastRow="0" w:firstColumn="1" w:lastColumn="0" w:noHBand="0" w:noVBand="1"/>
      </w:tblPr>
      <w:tblGrid>
        <w:gridCol w:w="4132"/>
        <w:gridCol w:w="6237"/>
      </w:tblGrid>
      <w:tr w:rsidR="00F10666" w:rsidTr="00CF0BD8">
        <w:trPr>
          <w:trHeight w:val="24"/>
        </w:trPr>
        <w:tc>
          <w:tcPr>
            <w:tcW w:w="10369" w:type="dxa"/>
            <w:gridSpan w:val="2"/>
            <w:tcBorders>
              <w:top w:val="single" w:sz="4" w:space="0" w:color="000000"/>
              <w:left w:val="single" w:sz="4" w:space="0" w:color="000000"/>
              <w:bottom w:val="single" w:sz="4" w:space="0" w:color="000000"/>
              <w:right w:val="single" w:sz="4" w:space="0" w:color="000000"/>
            </w:tcBorders>
            <w:shd w:val="clear" w:color="auto" w:fill="17818E"/>
            <w:vAlign w:val="center"/>
          </w:tcPr>
          <w:p w:rsidR="00F10666" w:rsidRDefault="00F10666" w:rsidP="009524BB">
            <w:pPr>
              <w:spacing w:line="259" w:lineRule="auto"/>
              <w:ind w:left="58"/>
            </w:pPr>
            <w:r>
              <w:rPr>
                <w:rFonts w:ascii="Arial" w:eastAsia="Arial" w:hAnsi="Arial" w:cs="Arial"/>
                <w:b/>
                <w:color w:val="FFFFFF"/>
              </w:rPr>
              <w:t>1. Émission et perception d’un son</w:t>
            </w:r>
            <w:r>
              <w:rPr>
                <w:rFonts w:ascii="Arial" w:eastAsia="Arial" w:hAnsi="Arial" w:cs="Arial"/>
                <w:b/>
                <w:color w:val="FFFFFF"/>
                <w:sz w:val="28"/>
              </w:rPr>
              <w:t xml:space="preserve"> </w:t>
            </w:r>
          </w:p>
        </w:tc>
      </w:tr>
      <w:tr w:rsidR="00F10666" w:rsidRPr="00AC0F81" w:rsidTr="00AC0F81">
        <w:trPr>
          <w:trHeight w:val="24"/>
        </w:trPr>
        <w:tc>
          <w:tcPr>
            <w:tcW w:w="4132" w:type="dxa"/>
            <w:tcBorders>
              <w:top w:val="single" w:sz="4" w:space="0" w:color="000000"/>
              <w:left w:val="single" w:sz="4" w:space="0" w:color="000000"/>
              <w:bottom w:val="single" w:sz="4" w:space="0" w:color="000000"/>
              <w:right w:val="single" w:sz="4" w:space="0" w:color="000000"/>
            </w:tcBorders>
            <w:vAlign w:val="center"/>
          </w:tcPr>
          <w:p w:rsidR="00F10666" w:rsidRPr="00AC0F81" w:rsidRDefault="00F10666" w:rsidP="009524BB">
            <w:pPr>
              <w:spacing w:line="259" w:lineRule="auto"/>
              <w:ind w:right="27"/>
              <w:jc w:val="center"/>
              <w:rPr>
                <w:sz w:val="20"/>
                <w:szCs w:val="20"/>
              </w:rPr>
            </w:pPr>
            <w:r w:rsidRPr="00AC0F81">
              <w:rPr>
                <w:rFonts w:ascii="Arial" w:eastAsia="Arial" w:hAnsi="Arial" w:cs="Arial"/>
                <w:b/>
                <w:sz w:val="20"/>
                <w:szCs w:val="20"/>
              </w:rPr>
              <w:t xml:space="preserve">Notions et contenus </w:t>
            </w:r>
          </w:p>
        </w:tc>
        <w:tc>
          <w:tcPr>
            <w:tcW w:w="6237" w:type="dxa"/>
            <w:tcBorders>
              <w:top w:val="single" w:sz="4" w:space="0" w:color="000000"/>
              <w:left w:val="single" w:sz="4" w:space="0" w:color="000000"/>
              <w:bottom w:val="single" w:sz="4" w:space="0" w:color="000000"/>
              <w:right w:val="single" w:sz="4" w:space="0" w:color="000000"/>
            </w:tcBorders>
          </w:tcPr>
          <w:p w:rsidR="00F10666" w:rsidRPr="00AC0F81" w:rsidRDefault="00F10666" w:rsidP="00A442BC">
            <w:pPr>
              <w:spacing w:line="259" w:lineRule="auto"/>
              <w:ind w:right="23"/>
              <w:jc w:val="center"/>
              <w:rPr>
                <w:sz w:val="20"/>
                <w:szCs w:val="20"/>
              </w:rPr>
            </w:pPr>
            <w:r w:rsidRPr="00AC0F81">
              <w:rPr>
                <w:rFonts w:ascii="Arial" w:eastAsia="Arial" w:hAnsi="Arial" w:cs="Arial"/>
                <w:b/>
                <w:sz w:val="20"/>
                <w:szCs w:val="20"/>
              </w:rPr>
              <w:t xml:space="preserve">Capacités exigibles </w:t>
            </w:r>
          </w:p>
        </w:tc>
      </w:tr>
      <w:tr w:rsidR="00F10666" w:rsidTr="00AC0F81">
        <w:trPr>
          <w:trHeight w:val="1506"/>
        </w:trPr>
        <w:tc>
          <w:tcPr>
            <w:tcW w:w="4132" w:type="dxa"/>
            <w:tcBorders>
              <w:top w:val="single" w:sz="4" w:space="0" w:color="000000"/>
              <w:left w:val="single" w:sz="4" w:space="0" w:color="000000"/>
              <w:bottom w:val="nil"/>
              <w:right w:val="single" w:sz="4" w:space="0" w:color="000000"/>
            </w:tcBorders>
          </w:tcPr>
          <w:p w:rsidR="00F10666" w:rsidRDefault="00F10666" w:rsidP="009524BB">
            <w:pPr>
              <w:spacing w:line="259" w:lineRule="auto"/>
            </w:pPr>
            <w:r>
              <w:t xml:space="preserve">Émission et propagation d'un signal sonore. </w:t>
            </w:r>
          </w:p>
        </w:tc>
        <w:tc>
          <w:tcPr>
            <w:tcW w:w="6237" w:type="dxa"/>
            <w:tcBorders>
              <w:top w:val="single" w:sz="4" w:space="0" w:color="000000"/>
              <w:left w:val="single" w:sz="4" w:space="0" w:color="000000"/>
              <w:bottom w:val="nil"/>
              <w:right w:val="single" w:sz="4" w:space="0" w:color="000000"/>
            </w:tcBorders>
          </w:tcPr>
          <w:p w:rsidR="00F10666" w:rsidRDefault="00F10666" w:rsidP="009524BB">
            <w:pPr>
              <w:spacing w:after="46" w:line="254" w:lineRule="auto"/>
              <w:ind w:left="2"/>
            </w:pPr>
            <w:r>
              <w:t xml:space="preserve">Décrire le principe de l’émission d’un signal sonore par la mise en vibration d’un objet et l’intérêt de la présence d’une caisse de résonance. </w:t>
            </w:r>
          </w:p>
          <w:p w:rsidR="00F10666" w:rsidRDefault="00F10666" w:rsidP="009524BB">
            <w:pPr>
              <w:spacing w:line="259" w:lineRule="auto"/>
              <w:ind w:left="2"/>
            </w:pPr>
            <w:r>
              <w:t xml:space="preserve">Expliquer le rôle joué par le milieu matériel dans le phénomène de propagation d’un signal sonore. </w:t>
            </w:r>
          </w:p>
        </w:tc>
      </w:tr>
      <w:tr w:rsidR="00F10666" w:rsidTr="00A442BC">
        <w:trPr>
          <w:trHeight w:val="19"/>
        </w:trPr>
        <w:tc>
          <w:tcPr>
            <w:tcW w:w="4132" w:type="dxa"/>
            <w:tcBorders>
              <w:top w:val="nil"/>
              <w:left w:val="single" w:sz="4" w:space="0" w:color="000000"/>
              <w:right w:val="single" w:sz="4" w:space="0" w:color="000000"/>
            </w:tcBorders>
          </w:tcPr>
          <w:p w:rsidR="00F10666" w:rsidRDefault="00F10666" w:rsidP="009524BB">
            <w:pPr>
              <w:spacing w:line="259" w:lineRule="auto"/>
            </w:pPr>
            <w:r>
              <w:t xml:space="preserve">Vitesse de propagation d’un signal sonore. </w:t>
            </w:r>
          </w:p>
        </w:tc>
        <w:tc>
          <w:tcPr>
            <w:tcW w:w="6237" w:type="dxa"/>
            <w:tcBorders>
              <w:top w:val="nil"/>
              <w:left w:val="single" w:sz="4" w:space="0" w:color="000000"/>
              <w:right w:val="single" w:sz="4" w:space="0" w:color="000000"/>
            </w:tcBorders>
          </w:tcPr>
          <w:p w:rsidR="00F10666" w:rsidRDefault="00F10666" w:rsidP="00A442BC">
            <w:pPr>
              <w:spacing w:after="72" w:line="239" w:lineRule="auto"/>
              <w:ind w:left="2"/>
            </w:pPr>
            <w:r>
              <w:t>Citer une valeur approchée de la vitesse de propagation d’un signal sonore dans l’air et la comparer à d’autres valeurs de v</w:t>
            </w:r>
            <w:r w:rsidR="00A442BC">
              <w:t>itesses couramment rencontrées.</w:t>
            </w:r>
          </w:p>
        </w:tc>
      </w:tr>
      <w:tr w:rsidR="00F10666" w:rsidTr="00A442BC">
        <w:trPr>
          <w:trHeight w:val="19"/>
        </w:trPr>
        <w:tc>
          <w:tcPr>
            <w:tcW w:w="4132" w:type="dxa"/>
            <w:tcBorders>
              <w:top w:val="nil"/>
              <w:left w:val="single" w:sz="4" w:space="0" w:color="000000"/>
              <w:bottom w:val="single" w:sz="4" w:space="0" w:color="auto"/>
              <w:right w:val="single" w:sz="4" w:space="0" w:color="000000"/>
            </w:tcBorders>
          </w:tcPr>
          <w:p w:rsidR="00F10666" w:rsidRDefault="00F10666" w:rsidP="009524BB">
            <w:pPr>
              <w:spacing w:line="259" w:lineRule="auto"/>
              <w:ind w:right="4"/>
            </w:pPr>
            <w:r>
              <w:t xml:space="preserve">Signal sonore périodique, fréquence et période. Relation entre période et fréquence. </w:t>
            </w:r>
          </w:p>
        </w:tc>
        <w:tc>
          <w:tcPr>
            <w:tcW w:w="6237" w:type="dxa"/>
            <w:tcBorders>
              <w:top w:val="nil"/>
              <w:left w:val="single" w:sz="4" w:space="0" w:color="000000"/>
              <w:bottom w:val="single" w:sz="4" w:space="0" w:color="auto"/>
              <w:right w:val="single" w:sz="4" w:space="0" w:color="000000"/>
            </w:tcBorders>
          </w:tcPr>
          <w:p w:rsidR="00F10666" w:rsidRDefault="00F10666" w:rsidP="00A442BC">
            <w:pPr>
              <w:spacing w:after="69" w:line="266" w:lineRule="auto"/>
              <w:ind w:left="2"/>
            </w:pPr>
            <w:r>
              <w:t xml:space="preserve">Définir et déterminer la période et la fréquence d’un signal sonore notamment à partir de sa représentation temporelle. </w:t>
            </w:r>
            <w:r>
              <w:rPr>
                <w:rFonts w:ascii="Arial" w:eastAsia="Arial" w:hAnsi="Arial" w:cs="Arial"/>
                <w:i/>
              </w:rPr>
              <w:t xml:space="preserve">Utiliser une </w:t>
            </w:r>
            <w:r>
              <w:rPr>
                <w:rFonts w:ascii="Arial" w:eastAsia="Arial" w:hAnsi="Arial" w:cs="Arial"/>
                <w:b/>
              </w:rPr>
              <w:t>Capacités mathématiques</w:t>
            </w:r>
            <w:r>
              <w:t xml:space="preserve"> : identifier une fonction périodique et déterminer sa période.</w:t>
            </w:r>
            <w:r>
              <w:rPr>
                <w:rFonts w:ascii="Arial" w:eastAsia="Arial" w:hAnsi="Arial" w:cs="Arial"/>
                <w:i/>
              </w:rPr>
              <w:t xml:space="preserve"> </w:t>
            </w:r>
          </w:p>
        </w:tc>
      </w:tr>
      <w:tr w:rsidR="00F10666" w:rsidTr="00A442BC">
        <w:tblPrEx>
          <w:tblCellMar>
            <w:top w:w="60" w:type="dxa"/>
          </w:tblCellMar>
        </w:tblPrEx>
        <w:trPr>
          <w:trHeight w:val="25"/>
        </w:trPr>
        <w:tc>
          <w:tcPr>
            <w:tcW w:w="10369" w:type="dxa"/>
            <w:gridSpan w:val="2"/>
            <w:tcBorders>
              <w:top w:val="single" w:sz="4" w:space="0" w:color="auto"/>
              <w:left w:val="single" w:sz="4" w:space="0" w:color="000000"/>
              <w:bottom w:val="single" w:sz="4" w:space="0" w:color="000000"/>
              <w:right w:val="single" w:sz="4" w:space="0" w:color="000000"/>
            </w:tcBorders>
            <w:shd w:val="clear" w:color="auto" w:fill="17818E"/>
            <w:vAlign w:val="center"/>
          </w:tcPr>
          <w:p w:rsidR="00F10666" w:rsidRDefault="00F10666" w:rsidP="009524BB">
            <w:pPr>
              <w:spacing w:line="259" w:lineRule="auto"/>
              <w:ind w:left="58"/>
            </w:pPr>
            <w:r>
              <w:t xml:space="preserve"> </w:t>
            </w:r>
            <w:r>
              <w:rPr>
                <w:rFonts w:ascii="Arial" w:eastAsia="Arial" w:hAnsi="Arial" w:cs="Arial"/>
                <w:b/>
                <w:color w:val="FFFFFF"/>
              </w:rPr>
              <w:t xml:space="preserve">2. Vision et image </w:t>
            </w:r>
          </w:p>
        </w:tc>
      </w:tr>
      <w:tr w:rsidR="00F10666" w:rsidRPr="00AC0F81" w:rsidTr="00AC0F81">
        <w:tblPrEx>
          <w:tblCellMar>
            <w:top w:w="60" w:type="dxa"/>
          </w:tblCellMar>
        </w:tblPrEx>
        <w:trPr>
          <w:trHeight w:val="25"/>
        </w:trPr>
        <w:tc>
          <w:tcPr>
            <w:tcW w:w="4132" w:type="dxa"/>
            <w:tcBorders>
              <w:top w:val="single" w:sz="4" w:space="0" w:color="000000"/>
              <w:left w:val="single" w:sz="4" w:space="0" w:color="000000"/>
              <w:bottom w:val="single" w:sz="4" w:space="0" w:color="000000"/>
              <w:right w:val="single" w:sz="4" w:space="0" w:color="000000"/>
            </w:tcBorders>
            <w:vAlign w:val="center"/>
          </w:tcPr>
          <w:p w:rsidR="00F10666" w:rsidRPr="00AC0F81" w:rsidRDefault="00F10666" w:rsidP="009524BB">
            <w:pPr>
              <w:spacing w:line="259" w:lineRule="auto"/>
              <w:ind w:right="27"/>
              <w:jc w:val="center"/>
              <w:rPr>
                <w:sz w:val="20"/>
                <w:szCs w:val="20"/>
              </w:rPr>
            </w:pPr>
            <w:r w:rsidRPr="00AC0F81">
              <w:rPr>
                <w:rFonts w:ascii="Arial" w:eastAsia="Arial" w:hAnsi="Arial" w:cs="Arial"/>
                <w:b/>
                <w:sz w:val="20"/>
                <w:szCs w:val="20"/>
              </w:rPr>
              <w:lastRenderedPageBreak/>
              <w:t xml:space="preserve">Notions et contenus </w:t>
            </w:r>
          </w:p>
        </w:tc>
        <w:tc>
          <w:tcPr>
            <w:tcW w:w="6237" w:type="dxa"/>
            <w:tcBorders>
              <w:top w:val="single" w:sz="4" w:space="0" w:color="000000"/>
              <w:left w:val="single" w:sz="4" w:space="0" w:color="000000"/>
              <w:bottom w:val="single" w:sz="4" w:space="0" w:color="000000"/>
              <w:right w:val="single" w:sz="4" w:space="0" w:color="000000"/>
            </w:tcBorders>
          </w:tcPr>
          <w:p w:rsidR="00F10666" w:rsidRPr="00AC0F81" w:rsidRDefault="00F10666" w:rsidP="00A442BC">
            <w:pPr>
              <w:spacing w:line="259" w:lineRule="auto"/>
              <w:ind w:right="23"/>
              <w:jc w:val="center"/>
              <w:rPr>
                <w:sz w:val="20"/>
                <w:szCs w:val="20"/>
              </w:rPr>
            </w:pPr>
            <w:r w:rsidRPr="00AC0F81">
              <w:rPr>
                <w:rFonts w:ascii="Arial" w:eastAsia="Arial" w:hAnsi="Arial" w:cs="Arial"/>
                <w:b/>
                <w:sz w:val="20"/>
                <w:szCs w:val="20"/>
              </w:rPr>
              <w:t xml:space="preserve">Capacités exigibles </w:t>
            </w:r>
          </w:p>
        </w:tc>
      </w:tr>
      <w:tr w:rsidR="00F10666" w:rsidTr="00AC0F81">
        <w:tblPrEx>
          <w:tblCellMar>
            <w:top w:w="60" w:type="dxa"/>
          </w:tblCellMar>
        </w:tblPrEx>
        <w:trPr>
          <w:trHeight w:val="299"/>
        </w:trPr>
        <w:tc>
          <w:tcPr>
            <w:tcW w:w="4132" w:type="dxa"/>
            <w:tcBorders>
              <w:top w:val="single" w:sz="4" w:space="0" w:color="000000"/>
              <w:left w:val="single" w:sz="4" w:space="0" w:color="000000"/>
              <w:bottom w:val="nil"/>
              <w:right w:val="single" w:sz="4" w:space="0" w:color="000000"/>
            </w:tcBorders>
          </w:tcPr>
          <w:p w:rsidR="00F10666" w:rsidRDefault="00F10666" w:rsidP="009524BB">
            <w:pPr>
              <w:spacing w:after="58"/>
              <w:ind w:right="6"/>
            </w:pPr>
            <w:r>
              <w:t xml:space="preserve">Propagation rectiligne de la lumière. </w:t>
            </w:r>
          </w:p>
          <w:p w:rsidR="00F10666" w:rsidRDefault="00F10666" w:rsidP="009524BB">
            <w:pPr>
              <w:spacing w:line="259" w:lineRule="auto"/>
            </w:pPr>
            <w:r>
              <w:t xml:space="preserve">Vitesse de propagation de la lumière dans le vide ou dans l’air. </w:t>
            </w:r>
          </w:p>
        </w:tc>
        <w:tc>
          <w:tcPr>
            <w:tcW w:w="6237" w:type="dxa"/>
            <w:tcBorders>
              <w:top w:val="single" w:sz="4" w:space="0" w:color="000000"/>
              <w:left w:val="single" w:sz="4" w:space="0" w:color="000000"/>
              <w:bottom w:val="nil"/>
              <w:right w:val="single" w:sz="4" w:space="0" w:color="000000"/>
            </w:tcBorders>
          </w:tcPr>
          <w:p w:rsidR="00F10666" w:rsidRDefault="00F10666" w:rsidP="009524BB">
            <w:pPr>
              <w:spacing w:line="259" w:lineRule="auto"/>
              <w:ind w:left="2"/>
            </w:pPr>
            <w:r>
              <w:t xml:space="preserve">Citer la valeur de la vitesse de la lumière dans le vide ou dans l’air et la comparer à d’autres valeurs de vitesses couramment rencontrées. </w:t>
            </w:r>
          </w:p>
        </w:tc>
      </w:tr>
      <w:tr w:rsidR="00F10666" w:rsidTr="00AC0F81">
        <w:tblPrEx>
          <w:tblCellMar>
            <w:top w:w="60" w:type="dxa"/>
          </w:tblCellMar>
        </w:tblPrEx>
        <w:trPr>
          <w:trHeight w:val="322"/>
        </w:trPr>
        <w:tc>
          <w:tcPr>
            <w:tcW w:w="4132" w:type="dxa"/>
            <w:tcBorders>
              <w:top w:val="nil"/>
              <w:left w:val="single" w:sz="4" w:space="0" w:color="000000"/>
              <w:bottom w:val="nil"/>
              <w:right w:val="single" w:sz="4" w:space="0" w:color="000000"/>
            </w:tcBorders>
          </w:tcPr>
          <w:p w:rsidR="00F10666" w:rsidRDefault="00F10666" w:rsidP="009524BB">
            <w:pPr>
              <w:spacing w:after="5" w:line="259" w:lineRule="auto"/>
            </w:pPr>
            <w:r>
              <w:t xml:space="preserve">Lumière blanche, lumière colorée. </w:t>
            </w:r>
          </w:p>
          <w:p w:rsidR="00F10666" w:rsidRDefault="00F10666" w:rsidP="009524BB">
            <w:pPr>
              <w:spacing w:after="74" w:line="239" w:lineRule="auto"/>
            </w:pPr>
            <w:r>
              <w:t xml:space="preserve">Spectres d’émission : spectres continus d’origine thermique, spectres de raies. </w:t>
            </w:r>
          </w:p>
          <w:p w:rsidR="00F10666" w:rsidRDefault="00F10666" w:rsidP="009524BB">
            <w:pPr>
              <w:spacing w:line="259" w:lineRule="auto"/>
            </w:pPr>
            <w:r>
              <w:t xml:space="preserve">Longueur d’onde dans le vide ou dans l’air. </w:t>
            </w:r>
          </w:p>
        </w:tc>
        <w:tc>
          <w:tcPr>
            <w:tcW w:w="6237" w:type="dxa"/>
            <w:tcBorders>
              <w:top w:val="nil"/>
              <w:left w:val="single" w:sz="4" w:space="0" w:color="000000"/>
              <w:bottom w:val="nil"/>
              <w:right w:val="single" w:sz="4" w:space="0" w:color="000000"/>
            </w:tcBorders>
          </w:tcPr>
          <w:p w:rsidR="00F10666" w:rsidRDefault="00F10666" w:rsidP="009524BB">
            <w:pPr>
              <w:spacing w:after="58"/>
              <w:ind w:left="2"/>
            </w:pPr>
            <w:r>
              <w:t xml:space="preserve">Caractériser le spectre du rayonnement émis par un corps chaud. </w:t>
            </w:r>
          </w:p>
          <w:p w:rsidR="00F10666" w:rsidRDefault="00F10666" w:rsidP="009524BB">
            <w:pPr>
              <w:spacing w:after="19" w:line="277" w:lineRule="auto"/>
              <w:ind w:left="2"/>
            </w:pPr>
            <w:r>
              <w:t xml:space="preserve">Caractériser un rayonnement monochromatique par sa longueur d’onde dans le vide ou dans l’air. </w:t>
            </w:r>
          </w:p>
          <w:p w:rsidR="00F10666" w:rsidRDefault="00F10666" w:rsidP="009524BB">
            <w:pPr>
              <w:spacing w:line="259" w:lineRule="auto"/>
              <w:ind w:left="2"/>
            </w:pPr>
            <w:r>
              <w:t xml:space="preserve">Exploiter un spectre de raies. </w:t>
            </w:r>
          </w:p>
        </w:tc>
      </w:tr>
      <w:tr w:rsidR="00F10666" w:rsidTr="00A442BC">
        <w:tblPrEx>
          <w:tblCellMar>
            <w:top w:w="60" w:type="dxa"/>
          </w:tblCellMar>
        </w:tblPrEx>
        <w:trPr>
          <w:trHeight w:val="20"/>
        </w:trPr>
        <w:tc>
          <w:tcPr>
            <w:tcW w:w="4132" w:type="dxa"/>
            <w:tcBorders>
              <w:top w:val="nil"/>
              <w:left w:val="single" w:sz="4" w:space="0" w:color="000000"/>
              <w:bottom w:val="nil"/>
              <w:right w:val="single" w:sz="4" w:space="0" w:color="000000"/>
            </w:tcBorders>
          </w:tcPr>
          <w:p w:rsidR="00F10666" w:rsidRDefault="00F10666" w:rsidP="009524BB">
            <w:pPr>
              <w:spacing w:line="259" w:lineRule="auto"/>
            </w:pPr>
            <w:r>
              <w:t xml:space="preserve">Dispersion de la lumière blanche par un prisme ou un réseau. </w:t>
            </w:r>
          </w:p>
        </w:tc>
        <w:tc>
          <w:tcPr>
            <w:tcW w:w="6237" w:type="dxa"/>
            <w:tcBorders>
              <w:top w:val="nil"/>
              <w:left w:val="single" w:sz="4" w:space="0" w:color="000000"/>
              <w:bottom w:val="nil"/>
              <w:right w:val="single" w:sz="4" w:space="0" w:color="000000"/>
            </w:tcBorders>
          </w:tcPr>
          <w:p w:rsidR="00F10666" w:rsidRDefault="00F10666" w:rsidP="00A442BC">
            <w:pPr>
              <w:spacing w:after="95" w:line="238" w:lineRule="auto"/>
              <w:ind w:left="2"/>
            </w:pPr>
            <w:r>
              <w:t xml:space="preserve">Décrire et expliquer qualitativement le phénomène de dispersion de la lumière par un prisme. </w:t>
            </w:r>
          </w:p>
        </w:tc>
      </w:tr>
      <w:tr w:rsidR="00F10666" w:rsidTr="00AC0F81">
        <w:tblPrEx>
          <w:tblCellMar>
            <w:top w:w="60" w:type="dxa"/>
          </w:tblCellMar>
        </w:tblPrEx>
        <w:trPr>
          <w:trHeight w:val="658"/>
        </w:trPr>
        <w:tc>
          <w:tcPr>
            <w:tcW w:w="4132" w:type="dxa"/>
            <w:tcBorders>
              <w:top w:val="nil"/>
              <w:left w:val="single" w:sz="4" w:space="0" w:color="000000"/>
              <w:bottom w:val="single" w:sz="4" w:space="0" w:color="000000"/>
              <w:right w:val="single" w:sz="4" w:space="0" w:color="000000"/>
            </w:tcBorders>
          </w:tcPr>
          <w:p w:rsidR="00F10666" w:rsidRDefault="00F10666" w:rsidP="009524BB">
            <w:pPr>
              <w:spacing w:after="59" w:line="239" w:lineRule="auto"/>
            </w:pPr>
            <w:r>
              <w:t xml:space="preserve">Lentilles, modèle de la lentille mince convergente : foyers, distance focale. </w:t>
            </w:r>
          </w:p>
          <w:p w:rsidR="00F10666" w:rsidRDefault="00F10666" w:rsidP="009524BB">
            <w:pPr>
              <w:spacing w:after="59" w:line="239" w:lineRule="auto"/>
            </w:pPr>
            <w:r>
              <w:t xml:space="preserve">Image réelle d’un objet réel à travers une lentille mince convergente. </w:t>
            </w:r>
          </w:p>
          <w:p w:rsidR="00F10666" w:rsidRDefault="00F10666" w:rsidP="009524BB">
            <w:pPr>
              <w:spacing w:after="77" w:line="259" w:lineRule="auto"/>
            </w:pPr>
            <w:r>
              <w:t xml:space="preserve">Grandissement. </w:t>
            </w:r>
          </w:p>
          <w:p w:rsidR="00F10666" w:rsidRDefault="00F10666" w:rsidP="009524BB">
            <w:pPr>
              <w:spacing w:line="259" w:lineRule="auto"/>
            </w:pPr>
          </w:p>
        </w:tc>
        <w:tc>
          <w:tcPr>
            <w:tcW w:w="6237" w:type="dxa"/>
            <w:tcBorders>
              <w:top w:val="nil"/>
              <w:left w:val="single" w:sz="4" w:space="0" w:color="000000"/>
              <w:bottom w:val="single" w:sz="4" w:space="0" w:color="000000"/>
              <w:right w:val="single" w:sz="4" w:space="0" w:color="000000"/>
            </w:tcBorders>
          </w:tcPr>
          <w:p w:rsidR="00F10666" w:rsidRDefault="00F10666" w:rsidP="009524BB">
            <w:pPr>
              <w:spacing w:after="24" w:line="275" w:lineRule="auto"/>
              <w:ind w:left="2"/>
            </w:pPr>
            <w:r>
              <w:t xml:space="preserve">Caractériser les foyers d’une lentille mince convergente à l’aide du modèle du rayon lumineux. </w:t>
            </w:r>
          </w:p>
          <w:p w:rsidR="00F10666" w:rsidRDefault="00F10666" w:rsidP="009524BB">
            <w:pPr>
              <w:spacing w:after="51" w:line="247" w:lineRule="auto"/>
              <w:ind w:left="2"/>
            </w:pPr>
            <w:r>
              <w:t xml:space="preserve">Utiliser le modèle du rayon lumineux pour déterminer graphiquement la position, la taille et le sens de l’image réelle d’un objet plan réel donnée par une lentille mince convergente. </w:t>
            </w:r>
          </w:p>
          <w:p w:rsidR="00F10666" w:rsidRDefault="00F10666" w:rsidP="009524BB">
            <w:pPr>
              <w:spacing w:after="78" w:line="259" w:lineRule="auto"/>
              <w:ind w:left="2"/>
            </w:pPr>
            <w:r>
              <w:t xml:space="preserve">Définir et déterminer géométriquement un grandissement. </w:t>
            </w:r>
          </w:p>
          <w:p w:rsidR="00F10666" w:rsidRDefault="00F10666" w:rsidP="009524BB">
            <w:pPr>
              <w:spacing w:line="259" w:lineRule="auto"/>
              <w:ind w:left="2"/>
            </w:pPr>
            <w:r>
              <w:rPr>
                <w:rFonts w:ascii="Arial" w:eastAsia="Arial" w:hAnsi="Arial" w:cs="Arial"/>
                <w:b/>
              </w:rPr>
              <w:t>Capacité mathématique</w:t>
            </w:r>
            <w:r>
              <w:t xml:space="preserve"> : utiliser le théorème de Thalès. </w:t>
            </w:r>
          </w:p>
        </w:tc>
      </w:tr>
      <w:tr w:rsidR="00F10666" w:rsidTr="00AC0F81">
        <w:tblPrEx>
          <w:tblCellMar>
            <w:top w:w="92" w:type="dxa"/>
            <w:bottom w:w="35" w:type="dxa"/>
          </w:tblCellMar>
        </w:tblPrEx>
        <w:trPr>
          <w:trHeight w:val="23"/>
        </w:trPr>
        <w:tc>
          <w:tcPr>
            <w:tcW w:w="10369" w:type="dxa"/>
            <w:gridSpan w:val="2"/>
            <w:tcBorders>
              <w:top w:val="single" w:sz="4" w:space="0" w:color="000000"/>
              <w:left w:val="single" w:sz="4" w:space="0" w:color="000000"/>
              <w:bottom w:val="single" w:sz="4" w:space="0" w:color="000000"/>
              <w:right w:val="single" w:sz="4" w:space="0" w:color="000000"/>
            </w:tcBorders>
            <w:shd w:val="clear" w:color="auto" w:fill="17818E"/>
            <w:vAlign w:val="center"/>
          </w:tcPr>
          <w:p w:rsidR="00F10666" w:rsidRDefault="00F10666" w:rsidP="009524BB">
            <w:pPr>
              <w:spacing w:line="259" w:lineRule="auto"/>
              <w:ind w:left="113"/>
            </w:pPr>
            <w:r>
              <w:t xml:space="preserve"> </w:t>
            </w:r>
            <w:bookmarkStart w:id="0" w:name="_GoBack"/>
            <w:bookmarkEnd w:id="0"/>
            <w:r>
              <w:rPr>
                <w:rFonts w:ascii="Arial" w:eastAsia="Arial" w:hAnsi="Arial" w:cs="Arial"/>
                <w:b/>
                <w:color w:val="FFFFFF"/>
              </w:rPr>
              <w:t xml:space="preserve">3. Signaux et capteurs </w:t>
            </w:r>
          </w:p>
        </w:tc>
      </w:tr>
      <w:tr w:rsidR="00F10666" w:rsidRPr="00AC0F81" w:rsidTr="00A442BC">
        <w:tblPrEx>
          <w:tblCellMar>
            <w:top w:w="92" w:type="dxa"/>
            <w:bottom w:w="35" w:type="dxa"/>
          </w:tblCellMar>
        </w:tblPrEx>
        <w:trPr>
          <w:trHeight w:val="23"/>
        </w:trPr>
        <w:tc>
          <w:tcPr>
            <w:tcW w:w="4132" w:type="dxa"/>
            <w:tcBorders>
              <w:top w:val="single" w:sz="4" w:space="0" w:color="000000"/>
              <w:left w:val="single" w:sz="4" w:space="0" w:color="000000"/>
              <w:bottom w:val="single" w:sz="4" w:space="0" w:color="000000"/>
              <w:right w:val="single" w:sz="4" w:space="0" w:color="000000"/>
            </w:tcBorders>
            <w:vAlign w:val="center"/>
          </w:tcPr>
          <w:p w:rsidR="00F10666" w:rsidRPr="00AC0F81" w:rsidRDefault="00F10666" w:rsidP="009524BB">
            <w:pPr>
              <w:spacing w:line="259" w:lineRule="auto"/>
              <w:ind w:right="25"/>
              <w:jc w:val="center"/>
              <w:rPr>
                <w:sz w:val="20"/>
                <w:szCs w:val="20"/>
              </w:rPr>
            </w:pPr>
            <w:r w:rsidRPr="00AC0F81">
              <w:rPr>
                <w:rFonts w:ascii="Arial" w:eastAsia="Arial" w:hAnsi="Arial" w:cs="Arial"/>
                <w:b/>
                <w:sz w:val="20"/>
                <w:szCs w:val="20"/>
              </w:rPr>
              <w:t xml:space="preserve">Notions et contenus </w:t>
            </w:r>
          </w:p>
        </w:tc>
        <w:tc>
          <w:tcPr>
            <w:tcW w:w="6237" w:type="dxa"/>
            <w:tcBorders>
              <w:top w:val="single" w:sz="4" w:space="0" w:color="000000"/>
              <w:left w:val="single" w:sz="4" w:space="0" w:color="000000"/>
              <w:bottom w:val="single" w:sz="4" w:space="0" w:color="000000"/>
              <w:right w:val="single" w:sz="4" w:space="0" w:color="000000"/>
            </w:tcBorders>
          </w:tcPr>
          <w:p w:rsidR="00F10666" w:rsidRPr="00AC0F81" w:rsidRDefault="00F10666" w:rsidP="00A442BC">
            <w:pPr>
              <w:spacing w:line="259" w:lineRule="auto"/>
              <w:ind w:right="26"/>
              <w:jc w:val="center"/>
              <w:rPr>
                <w:sz w:val="20"/>
                <w:szCs w:val="20"/>
              </w:rPr>
            </w:pPr>
            <w:r w:rsidRPr="00AC0F81">
              <w:rPr>
                <w:rFonts w:ascii="Arial" w:eastAsia="Arial" w:hAnsi="Arial" w:cs="Arial"/>
                <w:b/>
                <w:sz w:val="20"/>
                <w:szCs w:val="20"/>
              </w:rPr>
              <w:t>Capacités exigibles</w:t>
            </w:r>
            <w:r w:rsidRPr="00AC0F81">
              <w:rPr>
                <w:rFonts w:ascii="Arial" w:eastAsia="Arial" w:hAnsi="Arial" w:cs="Arial"/>
                <w:i/>
                <w:sz w:val="20"/>
                <w:szCs w:val="20"/>
              </w:rPr>
              <w:t xml:space="preserve"> </w:t>
            </w:r>
          </w:p>
        </w:tc>
      </w:tr>
      <w:tr w:rsidR="00F10666" w:rsidTr="00A442BC">
        <w:tblPrEx>
          <w:tblCellMar>
            <w:top w:w="92" w:type="dxa"/>
            <w:bottom w:w="35" w:type="dxa"/>
          </w:tblCellMar>
        </w:tblPrEx>
        <w:trPr>
          <w:trHeight w:val="23"/>
        </w:trPr>
        <w:tc>
          <w:tcPr>
            <w:tcW w:w="4132" w:type="dxa"/>
            <w:tcBorders>
              <w:top w:val="single" w:sz="4" w:space="0" w:color="000000"/>
              <w:left w:val="single" w:sz="4" w:space="0" w:color="000000"/>
              <w:bottom w:val="nil"/>
              <w:right w:val="single" w:sz="4" w:space="0" w:color="000000"/>
            </w:tcBorders>
          </w:tcPr>
          <w:p w:rsidR="00F10666" w:rsidRDefault="00F10666" w:rsidP="009524BB">
            <w:pPr>
              <w:spacing w:line="259" w:lineRule="auto"/>
            </w:pPr>
            <w:r>
              <w:t xml:space="preserve">Loi des nœuds. Loi des mailles. </w:t>
            </w:r>
          </w:p>
        </w:tc>
        <w:tc>
          <w:tcPr>
            <w:tcW w:w="6237" w:type="dxa"/>
            <w:tcBorders>
              <w:top w:val="single" w:sz="4" w:space="0" w:color="000000"/>
              <w:left w:val="single" w:sz="4" w:space="0" w:color="000000"/>
              <w:bottom w:val="nil"/>
              <w:right w:val="single" w:sz="4" w:space="0" w:color="000000"/>
            </w:tcBorders>
          </w:tcPr>
          <w:p w:rsidR="00F10666" w:rsidRDefault="00F10666" w:rsidP="00A442BC">
            <w:pPr>
              <w:spacing w:after="62" w:line="238" w:lineRule="auto"/>
              <w:ind w:left="2"/>
            </w:pPr>
            <w:r>
              <w:t xml:space="preserve">Exploiter la loi des mailles et la loi des nœuds dans un circuit électrique comportant au plus deux mailles. </w:t>
            </w:r>
          </w:p>
        </w:tc>
      </w:tr>
      <w:tr w:rsidR="00F10666" w:rsidTr="00A442BC">
        <w:tblPrEx>
          <w:tblCellMar>
            <w:top w:w="92" w:type="dxa"/>
            <w:bottom w:w="35" w:type="dxa"/>
          </w:tblCellMar>
        </w:tblPrEx>
        <w:trPr>
          <w:trHeight w:val="430"/>
        </w:trPr>
        <w:tc>
          <w:tcPr>
            <w:tcW w:w="4132" w:type="dxa"/>
            <w:tcBorders>
              <w:top w:val="nil"/>
              <w:left w:val="single" w:sz="4" w:space="0" w:color="000000"/>
              <w:bottom w:val="nil"/>
              <w:right w:val="single" w:sz="4" w:space="0" w:color="000000"/>
            </w:tcBorders>
          </w:tcPr>
          <w:p w:rsidR="00F10666" w:rsidRDefault="00F10666" w:rsidP="009524BB">
            <w:pPr>
              <w:spacing w:after="58" w:line="241" w:lineRule="auto"/>
            </w:pPr>
            <w:r>
              <w:t xml:space="preserve">Caractéristique tension-courant d’un dipôle. </w:t>
            </w:r>
          </w:p>
          <w:p w:rsidR="00F10666" w:rsidRDefault="00F10666" w:rsidP="009524BB">
            <w:pPr>
              <w:spacing w:after="95"/>
            </w:pPr>
            <w:r>
              <w:t xml:space="preserve">Résistance et systèmes à comportement de type ohmique. </w:t>
            </w:r>
          </w:p>
          <w:p w:rsidR="00F10666" w:rsidRDefault="00F10666" w:rsidP="009524BB">
            <w:pPr>
              <w:spacing w:line="259" w:lineRule="auto"/>
            </w:pPr>
            <w:r>
              <w:t xml:space="preserve">Loi d’Ohm. </w:t>
            </w:r>
          </w:p>
        </w:tc>
        <w:tc>
          <w:tcPr>
            <w:tcW w:w="6237" w:type="dxa"/>
            <w:tcBorders>
              <w:top w:val="nil"/>
              <w:left w:val="single" w:sz="4" w:space="0" w:color="000000"/>
              <w:bottom w:val="nil"/>
              <w:right w:val="single" w:sz="4" w:space="0" w:color="000000"/>
            </w:tcBorders>
          </w:tcPr>
          <w:p w:rsidR="00F10666" w:rsidRDefault="00F10666" w:rsidP="009524BB">
            <w:pPr>
              <w:spacing w:after="99"/>
              <w:ind w:left="2" w:right="69"/>
            </w:pPr>
            <w:r>
              <w:t xml:space="preserve">Exploiter la caractéristique d’un dipôle électrique : point de fonctionnement, modélisation par une relation U = f(I) ou I = g(U). </w:t>
            </w:r>
          </w:p>
          <w:p w:rsidR="00F10666" w:rsidRDefault="00F10666" w:rsidP="009524BB">
            <w:pPr>
              <w:spacing w:after="76" w:line="259" w:lineRule="auto"/>
              <w:ind w:left="2"/>
            </w:pPr>
            <w:r>
              <w:t xml:space="preserve">Utiliser la loi d’Ohm. </w:t>
            </w:r>
          </w:p>
          <w:p w:rsidR="00F10666" w:rsidRDefault="00F10666" w:rsidP="009524BB">
            <w:pPr>
              <w:spacing w:after="32" w:line="262" w:lineRule="auto"/>
              <w:ind w:left="2"/>
            </w:pPr>
            <w:r>
              <w:rPr>
                <w:rFonts w:ascii="Arial" w:eastAsia="Arial" w:hAnsi="Arial" w:cs="Arial"/>
                <w:b/>
              </w:rPr>
              <w:t xml:space="preserve">Capacités numériques : </w:t>
            </w:r>
            <w:r>
              <w:t xml:space="preserve">représenter un nuage de points associé à la caractéristique d’un dipôle et modéliser la caractéristique de ce dipôle à l’aide d’un langage de programmation. </w:t>
            </w:r>
          </w:p>
          <w:p w:rsidR="00F10666" w:rsidRDefault="00F10666" w:rsidP="009524BB">
            <w:pPr>
              <w:spacing w:line="259" w:lineRule="auto"/>
              <w:ind w:left="2"/>
            </w:pPr>
            <w:r>
              <w:rPr>
                <w:rFonts w:ascii="Arial" w:eastAsia="Arial" w:hAnsi="Arial" w:cs="Arial"/>
                <w:b/>
              </w:rPr>
              <w:t>Capacité mathématique :</w:t>
            </w:r>
            <w:r>
              <w:t xml:space="preserve"> identifier une situation de proportionnalité. </w:t>
            </w:r>
          </w:p>
        </w:tc>
      </w:tr>
      <w:tr w:rsidR="00F10666" w:rsidTr="00A442BC">
        <w:tblPrEx>
          <w:tblCellMar>
            <w:top w:w="92" w:type="dxa"/>
            <w:bottom w:w="35" w:type="dxa"/>
          </w:tblCellMar>
        </w:tblPrEx>
        <w:trPr>
          <w:trHeight w:val="18"/>
        </w:trPr>
        <w:tc>
          <w:tcPr>
            <w:tcW w:w="4132" w:type="dxa"/>
            <w:tcBorders>
              <w:top w:val="nil"/>
              <w:left w:val="single" w:sz="4" w:space="0" w:color="000000"/>
              <w:bottom w:val="single" w:sz="4" w:space="0" w:color="000000"/>
              <w:right w:val="single" w:sz="4" w:space="0" w:color="000000"/>
            </w:tcBorders>
          </w:tcPr>
          <w:p w:rsidR="00F10666" w:rsidRDefault="00F10666" w:rsidP="009524BB">
            <w:pPr>
              <w:spacing w:line="259" w:lineRule="auto"/>
            </w:pPr>
            <w:r>
              <w:t xml:space="preserve">Capteurs électriques. </w:t>
            </w:r>
          </w:p>
        </w:tc>
        <w:tc>
          <w:tcPr>
            <w:tcW w:w="6237" w:type="dxa"/>
            <w:tcBorders>
              <w:top w:val="nil"/>
              <w:left w:val="single" w:sz="4" w:space="0" w:color="000000"/>
              <w:bottom w:val="single" w:sz="4" w:space="0" w:color="000000"/>
              <w:right w:val="single" w:sz="4" w:space="0" w:color="000000"/>
            </w:tcBorders>
          </w:tcPr>
          <w:p w:rsidR="00F10666" w:rsidRDefault="00F10666" w:rsidP="00A442BC">
            <w:pPr>
              <w:spacing w:after="58"/>
              <w:ind w:left="2"/>
            </w:pPr>
            <w:r>
              <w:t xml:space="preserve">Citer des exemples de capteurs présents dans les objets de la vie quotidienne. </w:t>
            </w:r>
            <w:r>
              <w:rPr>
                <w:rFonts w:ascii="Arial" w:eastAsia="Arial" w:hAnsi="Arial" w:cs="Arial"/>
                <w:b/>
                <w:i/>
              </w:rPr>
              <w:t xml:space="preserve"> </w:t>
            </w:r>
          </w:p>
        </w:tc>
      </w:tr>
    </w:tbl>
    <w:p w:rsidR="00F10666" w:rsidRDefault="00F10666" w:rsidP="00F10666">
      <w:pPr>
        <w:spacing w:after="0" w:line="259" w:lineRule="auto"/>
      </w:pPr>
      <w:r>
        <w:t xml:space="preserve"> </w:t>
      </w:r>
    </w:p>
    <w:p w:rsidR="00F10666" w:rsidRDefault="00F10666" w:rsidP="00832341">
      <w:pPr>
        <w:pStyle w:val="Paragraphedeliste"/>
        <w:rPr>
          <w:b/>
          <w:u w:val="single"/>
        </w:rPr>
      </w:pPr>
    </w:p>
    <w:p w:rsidR="0031431D" w:rsidRDefault="0031431D" w:rsidP="00D94D26">
      <w:pPr>
        <w:pStyle w:val="Paragraphedeliste"/>
        <w:ind w:left="0"/>
        <w:rPr>
          <w:b/>
          <w:u w:val="single"/>
        </w:rPr>
      </w:pPr>
    </w:p>
    <w:p w:rsidR="0031431D" w:rsidRDefault="0031431D" w:rsidP="0031431D">
      <w:pPr>
        <w:pStyle w:val="Default"/>
      </w:pPr>
    </w:p>
    <w:p w:rsidR="00E95C6E" w:rsidRDefault="00E95C6E" w:rsidP="00D94D26">
      <w:pPr>
        <w:pStyle w:val="Paragraphedeliste"/>
      </w:pPr>
    </w:p>
    <w:sectPr w:rsidR="00E95C6E" w:rsidSect="00D94D26">
      <w:headerReference w:type="default" r:id="rId7"/>
      <w:headerReference w:type="first" r:id="rId8"/>
      <w:pgSz w:w="11906" w:h="16838"/>
      <w:pgMar w:top="1417" w:right="1417" w:bottom="1417"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AD9" w:rsidRDefault="00335AD9" w:rsidP="003D0515">
      <w:pPr>
        <w:spacing w:after="0" w:line="240" w:lineRule="auto"/>
      </w:pPr>
      <w:r>
        <w:separator/>
      </w:r>
    </w:p>
  </w:endnote>
  <w:endnote w:type="continuationSeparator" w:id="0">
    <w:p w:rsidR="00335AD9" w:rsidRDefault="00335AD9" w:rsidP="003D0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AD9" w:rsidRDefault="00335AD9" w:rsidP="003D0515">
      <w:pPr>
        <w:spacing w:after="0" w:line="240" w:lineRule="auto"/>
      </w:pPr>
      <w:r>
        <w:separator/>
      </w:r>
    </w:p>
  </w:footnote>
  <w:footnote w:type="continuationSeparator" w:id="0">
    <w:p w:rsidR="00335AD9" w:rsidRDefault="00335AD9" w:rsidP="003D05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C75" w:rsidRDefault="00A42C75">
    <w:pPr>
      <w:pStyle w:val="En-tte"/>
    </w:pPr>
  </w:p>
  <w:p w:rsidR="00A42C75" w:rsidRDefault="00A42C7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C75" w:rsidRPr="00D33EB1" w:rsidRDefault="00A42C75" w:rsidP="00A42C75">
    <w:pPr>
      <w:pStyle w:val="En-tte"/>
      <w:jc w:val="center"/>
      <w:rPr>
        <w:b/>
        <w:sz w:val="28"/>
        <w:szCs w:val="28"/>
        <w:u w:val="single"/>
      </w:rPr>
    </w:pPr>
    <w:r w:rsidRPr="00D33EB1">
      <w:rPr>
        <w:b/>
        <w:sz w:val="28"/>
        <w:szCs w:val="28"/>
        <w:u w:val="single"/>
      </w:rPr>
      <w:t xml:space="preserve">Prérequis de </w:t>
    </w:r>
    <w:r w:rsidR="00832341">
      <w:rPr>
        <w:b/>
        <w:sz w:val="28"/>
        <w:szCs w:val="28"/>
        <w:u w:val="single"/>
      </w:rPr>
      <w:t>seconde</w:t>
    </w:r>
    <w:r w:rsidR="00D62425">
      <w:rPr>
        <w:b/>
        <w:sz w:val="28"/>
        <w:szCs w:val="28"/>
        <w:u w:val="single"/>
      </w:rPr>
      <w:t xml:space="preserve"> pour la classe de </w:t>
    </w:r>
    <w:r w:rsidR="00832341">
      <w:rPr>
        <w:b/>
        <w:sz w:val="28"/>
        <w:szCs w:val="28"/>
        <w:u w:val="single"/>
      </w:rPr>
      <w:t>1</w:t>
    </w:r>
    <w:r w:rsidR="00832341" w:rsidRPr="00832341">
      <w:rPr>
        <w:b/>
        <w:sz w:val="28"/>
        <w:szCs w:val="28"/>
        <w:u w:val="single"/>
        <w:vertAlign w:val="superscript"/>
      </w:rPr>
      <w:t>ère</w:t>
    </w:r>
    <w:r w:rsidR="00832341">
      <w:rPr>
        <w:b/>
        <w:sz w:val="28"/>
        <w:szCs w:val="28"/>
        <w:u w:val="single"/>
      </w:rPr>
      <w:t xml:space="preserve"> spécialité physique-chimie</w:t>
    </w:r>
  </w:p>
  <w:p w:rsidR="00A42C75" w:rsidRDefault="00A42C7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432C0"/>
    <w:multiLevelType w:val="hybridMultilevel"/>
    <w:tmpl w:val="5DC48458"/>
    <w:lvl w:ilvl="0" w:tplc="AF7A76B6">
      <w:start w:val="1"/>
      <w:numFmt w:val="bullet"/>
      <w:lvlText w:val="-"/>
      <w:lvlJc w:val="left"/>
      <w:pPr>
        <w:ind w:left="228"/>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lvl w:ilvl="1" w:tplc="9D9CDE7C">
      <w:start w:val="1"/>
      <w:numFmt w:val="bullet"/>
      <w:lvlText w:val="o"/>
      <w:lvlJc w:val="left"/>
      <w:pPr>
        <w:ind w:left="1164"/>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lvl w:ilvl="2" w:tplc="EF1218E8">
      <w:start w:val="1"/>
      <w:numFmt w:val="bullet"/>
      <w:lvlText w:val="▪"/>
      <w:lvlJc w:val="left"/>
      <w:pPr>
        <w:ind w:left="1884"/>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lvl w:ilvl="3" w:tplc="DC6816AE">
      <w:start w:val="1"/>
      <w:numFmt w:val="bullet"/>
      <w:lvlText w:val="•"/>
      <w:lvlJc w:val="left"/>
      <w:pPr>
        <w:ind w:left="2604"/>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lvl w:ilvl="4" w:tplc="6248B94A">
      <w:start w:val="1"/>
      <w:numFmt w:val="bullet"/>
      <w:lvlText w:val="o"/>
      <w:lvlJc w:val="left"/>
      <w:pPr>
        <w:ind w:left="3324"/>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lvl w:ilvl="5" w:tplc="E416E620">
      <w:start w:val="1"/>
      <w:numFmt w:val="bullet"/>
      <w:lvlText w:val="▪"/>
      <w:lvlJc w:val="left"/>
      <w:pPr>
        <w:ind w:left="4044"/>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lvl w:ilvl="6" w:tplc="F36AE95A">
      <w:start w:val="1"/>
      <w:numFmt w:val="bullet"/>
      <w:lvlText w:val="•"/>
      <w:lvlJc w:val="left"/>
      <w:pPr>
        <w:ind w:left="4764"/>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lvl w:ilvl="7" w:tplc="E2FA107A">
      <w:start w:val="1"/>
      <w:numFmt w:val="bullet"/>
      <w:lvlText w:val="o"/>
      <w:lvlJc w:val="left"/>
      <w:pPr>
        <w:ind w:left="5484"/>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lvl w:ilvl="8" w:tplc="696A9E44">
      <w:start w:val="1"/>
      <w:numFmt w:val="bullet"/>
      <w:lvlText w:val="▪"/>
      <w:lvlJc w:val="left"/>
      <w:pPr>
        <w:ind w:left="6204"/>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abstractNum>
  <w:abstractNum w:abstractNumId="1" w15:restartNumberingAfterBreak="0">
    <w:nsid w:val="4E184356"/>
    <w:multiLevelType w:val="hybridMultilevel"/>
    <w:tmpl w:val="1F648804"/>
    <w:lvl w:ilvl="0" w:tplc="6E4E3B70">
      <w:start w:val="1"/>
      <w:numFmt w:val="bullet"/>
      <w:lvlText w:val=""/>
      <w:lvlJc w:val="left"/>
      <w:pPr>
        <w:ind w:left="720"/>
      </w:pPr>
      <w:rPr>
        <w:rFonts w:ascii="Segoe UI Symbol" w:eastAsia="Segoe UI Symbol" w:hAnsi="Segoe UI Symbol" w:cs="Segoe UI Symbol"/>
        <w:b w:val="0"/>
        <w:i w:val="0"/>
        <w:strike w:val="0"/>
        <w:dstrike w:val="0"/>
        <w:color w:val="0062AC"/>
        <w:sz w:val="24"/>
        <w:szCs w:val="24"/>
        <w:u w:val="none" w:color="000000"/>
        <w:bdr w:val="none" w:sz="0" w:space="0" w:color="auto"/>
        <w:shd w:val="clear" w:color="auto" w:fill="auto"/>
        <w:vertAlign w:val="baseline"/>
      </w:rPr>
    </w:lvl>
    <w:lvl w:ilvl="1" w:tplc="86C478D8">
      <w:start w:val="1"/>
      <w:numFmt w:val="bullet"/>
      <w:lvlText w:val="o"/>
      <w:lvlJc w:val="left"/>
      <w:pPr>
        <w:ind w:left="1466"/>
      </w:pPr>
      <w:rPr>
        <w:rFonts w:ascii="Segoe UI Symbol" w:eastAsia="Segoe UI Symbol" w:hAnsi="Segoe UI Symbol" w:cs="Segoe UI Symbol"/>
        <w:b w:val="0"/>
        <w:i w:val="0"/>
        <w:strike w:val="0"/>
        <w:dstrike w:val="0"/>
        <w:color w:val="0062AC"/>
        <w:sz w:val="24"/>
        <w:szCs w:val="24"/>
        <w:u w:val="none" w:color="000000"/>
        <w:bdr w:val="none" w:sz="0" w:space="0" w:color="auto"/>
        <w:shd w:val="clear" w:color="auto" w:fill="auto"/>
        <w:vertAlign w:val="baseline"/>
      </w:rPr>
    </w:lvl>
    <w:lvl w:ilvl="2" w:tplc="68223EE2">
      <w:start w:val="1"/>
      <w:numFmt w:val="bullet"/>
      <w:lvlText w:val="▪"/>
      <w:lvlJc w:val="left"/>
      <w:pPr>
        <w:ind w:left="2186"/>
      </w:pPr>
      <w:rPr>
        <w:rFonts w:ascii="Segoe UI Symbol" w:eastAsia="Segoe UI Symbol" w:hAnsi="Segoe UI Symbol" w:cs="Segoe UI Symbol"/>
        <w:b w:val="0"/>
        <w:i w:val="0"/>
        <w:strike w:val="0"/>
        <w:dstrike w:val="0"/>
        <w:color w:val="0062AC"/>
        <w:sz w:val="24"/>
        <w:szCs w:val="24"/>
        <w:u w:val="none" w:color="000000"/>
        <w:bdr w:val="none" w:sz="0" w:space="0" w:color="auto"/>
        <w:shd w:val="clear" w:color="auto" w:fill="auto"/>
        <w:vertAlign w:val="baseline"/>
      </w:rPr>
    </w:lvl>
    <w:lvl w:ilvl="3" w:tplc="DAA4661E">
      <w:start w:val="1"/>
      <w:numFmt w:val="bullet"/>
      <w:lvlText w:val="•"/>
      <w:lvlJc w:val="left"/>
      <w:pPr>
        <w:ind w:left="2906"/>
      </w:pPr>
      <w:rPr>
        <w:rFonts w:ascii="Arial" w:eastAsia="Arial" w:hAnsi="Arial" w:cs="Arial"/>
        <w:b w:val="0"/>
        <w:i w:val="0"/>
        <w:strike w:val="0"/>
        <w:dstrike w:val="0"/>
        <w:color w:val="0062AC"/>
        <w:sz w:val="24"/>
        <w:szCs w:val="24"/>
        <w:u w:val="none" w:color="000000"/>
        <w:bdr w:val="none" w:sz="0" w:space="0" w:color="auto"/>
        <w:shd w:val="clear" w:color="auto" w:fill="auto"/>
        <w:vertAlign w:val="baseline"/>
      </w:rPr>
    </w:lvl>
    <w:lvl w:ilvl="4" w:tplc="162ABB5A">
      <w:start w:val="1"/>
      <w:numFmt w:val="bullet"/>
      <w:lvlText w:val="o"/>
      <w:lvlJc w:val="left"/>
      <w:pPr>
        <w:ind w:left="3626"/>
      </w:pPr>
      <w:rPr>
        <w:rFonts w:ascii="Segoe UI Symbol" w:eastAsia="Segoe UI Symbol" w:hAnsi="Segoe UI Symbol" w:cs="Segoe UI Symbol"/>
        <w:b w:val="0"/>
        <w:i w:val="0"/>
        <w:strike w:val="0"/>
        <w:dstrike w:val="0"/>
        <w:color w:val="0062AC"/>
        <w:sz w:val="24"/>
        <w:szCs w:val="24"/>
        <w:u w:val="none" w:color="000000"/>
        <w:bdr w:val="none" w:sz="0" w:space="0" w:color="auto"/>
        <w:shd w:val="clear" w:color="auto" w:fill="auto"/>
        <w:vertAlign w:val="baseline"/>
      </w:rPr>
    </w:lvl>
    <w:lvl w:ilvl="5" w:tplc="182EDED4">
      <w:start w:val="1"/>
      <w:numFmt w:val="bullet"/>
      <w:lvlText w:val="▪"/>
      <w:lvlJc w:val="left"/>
      <w:pPr>
        <w:ind w:left="4346"/>
      </w:pPr>
      <w:rPr>
        <w:rFonts w:ascii="Segoe UI Symbol" w:eastAsia="Segoe UI Symbol" w:hAnsi="Segoe UI Symbol" w:cs="Segoe UI Symbol"/>
        <w:b w:val="0"/>
        <w:i w:val="0"/>
        <w:strike w:val="0"/>
        <w:dstrike w:val="0"/>
        <w:color w:val="0062AC"/>
        <w:sz w:val="24"/>
        <w:szCs w:val="24"/>
        <w:u w:val="none" w:color="000000"/>
        <w:bdr w:val="none" w:sz="0" w:space="0" w:color="auto"/>
        <w:shd w:val="clear" w:color="auto" w:fill="auto"/>
        <w:vertAlign w:val="baseline"/>
      </w:rPr>
    </w:lvl>
    <w:lvl w:ilvl="6" w:tplc="1AC07AF4">
      <w:start w:val="1"/>
      <w:numFmt w:val="bullet"/>
      <w:lvlText w:val="•"/>
      <w:lvlJc w:val="left"/>
      <w:pPr>
        <w:ind w:left="5066"/>
      </w:pPr>
      <w:rPr>
        <w:rFonts w:ascii="Arial" w:eastAsia="Arial" w:hAnsi="Arial" w:cs="Arial"/>
        <w:b w:val="0"/>
        <w:i w:val="0"/>
        <w:strike w:val="0"/>
        <w:dstrike w:val="0"/>
        <w:color w:val="0062AC"/>
        <w:sz w:val="24"/>
        <w:szCs w:val="24"/>
        <w:u w:val="none" w:color="000000"/>
        <w:bdr w:val="none" w:sz="0" w:space="0" w:color="auto"/>
        <w:shd w:val="clear" w:color="auto" w:fill="auto"/>
        <w:vertAlign w:val="baseline"/>
      </w:rPr>
    </w:lvl>
    <w:lvl w:ilvl="7" w:tplc="7C428FF2">
      <w:start w:val="1"/>
      <w:numFmt w:val="bullet"/>
      <w:lvlText w:val="o"/>
      <w:lvlJc w:val="left"/>
      <w:pPr>
        <w:ind w:left="5786"/>
      </w:pPr>
      <w:rPr>
        <w:rFonts w:ascii="Segoe UI Symbol" w:eastAsia="Segoe UI Symbol" w:hAnsi="Segoe UI Symbol" w:cs="Segoe UI Symbol"/>
        <w:b w:val="0"/>
        <w:i w:val="0"/>
        <w:strike w:val="0"/>
        <w:dstrike w:val="0"/>
        <w:color w:val="0062AC"/>
        <w:sz w:val="24"/>
        <w:szCs w:val="24"/>
        <w:u w:val="none" w:color="000000"/>
        <w:bdr w:val="none" w:sz="0" w:space="0" w:color="auto"/>
        <w:shd w:val="clear" w:color="auto" w:fill="auto"/>
        <w:vertAlign w:val="baseline"/>
      </w:rPr>
    </w:lvl>
    <w:lvl w:ilvl="8" w:tplc="9D30AF2E">
      <w:start w:val="1"/>
      <w:numFmt w:val="bullet"/>
      <w:lvlText w:val="▪"/>
      <w:lvlJc w:val="left"/>
      <w:pPr>
        <w:ind w:left="6506"/>
      </w:pPr>
      <w:rPr>
        <w:rFonts w:ascii="Segoe UI Symbol" w:eastAsia="Segoe UI Symbol" w:hAnsi="Segoe UI Symbol" w:cs="Segoe UI Symbol"/>
        <w:b w:val="0"/>
        <w:i w:val="0"/>
        <w:strike w:val="0"/>
        <w:dstrike w:val="0"/>
        <w:color w:val="0062AC"/>
        <w:sz w:val="24"/>
        <w:szCs w:val="24"/>
        <w:u w:val="none" w:color="000000"/>
        <w:bdr w:val="none" w:sz="0" w:space="0" w:color="auto"/>
        <w:shd w:val="clear" w:color="auto" w:fill="auto"/>
        <w:vertAlign w:val="baseline"/>
      </w:rPr>
    </w:lvl>
  </w:abstractNum>
  <w:abstractNum w:abstractNumId="2" w15:restartNumberingAfterBreak="0">
    <w:nsid w:val="7F07747A"/>
    <w:multiLevelType w:val="hybridMultilevel"/>
    <w:tmpl w:val="81D8B6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996"/>
    <w:rsid w:val="000360CC"/>
    <w:rsid w:val="00047D11"/>
    <w:rsid w:val="002F5BBE"/>
    <w:rsid w:val="0031431D"/>
    <w:rsid w:val="00335AD9"/>
    <w:rsid w:val="003C4C2A"/>
    <w:rsid w:val="003D0515"/>
    <w:rsid w:val="00463340"/>
    <w:rsid w:val="00572996"/>
    <w:rsid w:val="005E14A8"/>
    <w:rsid w:val="00634658"/>
    <w:rsid w:val="00695711"/>
    <w:rsid w:val="00724CA7"/>
    <w:rsid w:val="00832341"/>
    <w:rsid w:val="00965165"/>
    <w:rsid w:val="00A42C75"/>
    <w:rsid w:val="00A442BC"/>
    <w:rsid w:val="00AC0F81"/>
    <w:rsid w:val="00B86624"/>
    <w:rsid w:val="00B94461"/>
    <w:rsid w:val="00CF0BD8"/>
    <w:rsid w:val="00D165A4"/>
    <w:rsid w:val="00D33EB1"/>
    <w:rsid w:val="00D51AC6"/>
    <w:rsid w:val="00D62425"/>
    <w:rsid w:val="00D86E2C"/>
    <w:rsid w:val="00D94D26"/>
    <w:rsid w:val="00E06787"/>
    <w:rsid w:val="00E5739B"/>
    <w:rsid w:val="00E95C6E"/>
    <w:rsid w:val="00F10666"/>
    <w:rsid w:val="00FE68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830402"/>
  <w15:docId w15:val="{927B6282-C6BB-41C2-91D6-7AABFAD22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3">
    <w:name w:val="heading 3"/>
    <w:next w:val="Normal"/>
    <w:link w:val="Titre3Car"/>
    <w:uiPriority w:val="9"/>
    <w:unhideWhenUsed/>
    <w:qFormat/>
    <w:rsid w:val="00F10666"/>
    <w:pPr>
      <w:keepNext/>
      <w:keepLines/>
      <w:spacing w:after="38" w:line="259" w:lineRule="auto"/>
      <w:ind w:left="10" w:hanging="10"/>
      <w:outlineLvl w:val="2"/>
    </w:pPr>
    <w:rPr>
      <w:rFonts w:ascii="Arial" w:eastAsia="Arial" w:hAnsi="Arial" w:cs="Arial"/>
      <w:color w:val="17818E"/>
      <w:sz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572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3D0515"/>
    <w:pPr>
      <w:tabs>
        <w:tab w:val="center" w:pos="4536"/>
        <w:tab w:val="right" w:pos="9072"/>
      </w:tabs>
      <w:spacing w:after="0" w:line="240" w:lineRule="auto"/>
    </w:pPr>
  </w:style>
  <w:style w:type="character" w:customStyle="1" w:styleId="En-tteCar">
    <w:name w:val="En-tête Car"/>
    <w:basedOn w:val="Policepardfaut"/>
    <w:link w:val="En-tte"/>
    <w:uiPriority w:val="99"/>
    <w:rsid w:val="003D0515"/>
  </w:style>
  <w:style w:type="paragraph" w:styleId="Pieddepage">
    <w:name w:val="footer"/>
    <w:basedOn w:val="Normal"/>
    <w:link w:val="PieddepageCar"/>
    <w:uiPriority w:val="99"/>
    <w:unhideWhenUsed/>
    <w:rsid w:val="003D051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D0515"/>
  </w:style>
  <w:style w:type="paragraph" w:styleId="Textedebulles">
    <w:name w:val="Balloon Text"/>
    <w:basedOn w:val="Normal"/>
    <w:link w:val="TextedebullesCar"/>
    <w:uiPriority w:val="99"/>
    <w:semiHidden/>
    <w:unhideWhenUsed/>
    <w:rsid w:val="003D051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D0515"/>
    <w:rPr>
      <w:rFonts w:ascii="Tahoma" w:hAnsi="Tahoma" w:cs="Tahoma"/>
      <w:sz w:val="16"/>
      <w:szCs w:val="16"/>
    </w:rPr>
  </w:style>
  <w:style w:type="paragraph" w:styleId="Paragraphedeliste">
    <w:name w:val="List Paragraph"/>
    <w:basedOn w:val="Normal"/>
    <w:uiPriority w:val="34"/>
    <w:qFormat/>
    <w:rsid w:val="00B94461"/>
    <w:pPr>
      <w:ind w:left="720"/>
      <w:contextualSpacing/>
    </w:pPr>
  </w:style>
  <w:style w:type="paragraph" w:customStyle="1" w:styleId="Default">
    <w:name w:val="Default"/>
    <w:rsid w:val="00832341"/>
    <w:pPr>
      <w:autoSpaceDE w:val="0"/>
      <w:autoSpaceDN w:val="0"/>
      <w:adjustRightInd w:val="0"/>
      <w:spacing w:after="0" w:line="240" w:lineRule="auto"/>
    </w:pPr>
    <w:rPr>
      <w:rFonts w:ascii="Arial" w:hAnsi="Arial" w:cs="Arial"/>
      <w:color w:val="000000"/>
      <w:sz w:val="24"/>
      <w:szCs w:val="24"/>
    </w:rPr>
  </w:style>
  <w:style w:type="table" w:customStyle="1" w:styleId="TableGrid">
    <w:name w:val="TableGrid"/>
    <w:rsid w:val="0031431D"/>
    <w:pPr>
      <w:spacing w:after="0" w:line="240" w:lineRule="auto"/>
    </w:pPr>
    <w:rPr>
      <w:rFonts w:eastAsiaTheme="minorEastAsia"/>
      <w:lang w:eastAsia="fr-FR"/>
    </w:rPr>
    <w:tblPr>
      <w:tblCellMar>
        <w:top w:w="0" w:type="dxa"/>
        <w:left w:w="0" w:type="dxa"/>
        <w:bottom w:w="0" w:type="dxa"/>
        <w:right w:w="0" w:type="dxa"/>
      </w:tblCellMar>
    </w:tblPr>
  </w:style>
  <w:style w:type="character" w:customStyle="1" w:styleId="Titre3Car">
    <w:name w:val="Titre 3 Car"/>
    <w:basedOn w:val="Policepardfaut"/>
    <w:link w:val="Titre3"/>
    <w:rsid w:val="00F10666"/>
    <w:rPr>
      <w:rFonts w:ascii="Arial" w:eastAsia="Arial" w:hAnsi="Arial" w:cs="Arial"/>
      <w:color w:val="17818E"/>
      <w:sz w:val="2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4</Pages>
  <Words>1695</Words>
  <Characters>9328</Characters>
  <Application>Microsoft Office Word</Application>
  <DocSecurity>0</DocSecurity>
  <Lines>77</Lines>
  <Paragraphs>22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dc:creator>
  <cp:lastModifiedBy>Isabelle Tarride</cp:lastModifiedBy>
  <cp:revision>5</cp:revision>
  <dcterms:created xsi:type="dcterms:W3CDTF">2020-06-08T20:34:00Z</dcterms:created>
  <dcterms:modified xsi:type="dcterms:W3CDTF">2020-06-08T21:39:00Z</dcterms:modified>
</cp:coreProperties>
</file>