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8C" w:rsidRPr="00B17651" w:rsidRDefault="00C0248C" w:rsidP="00C0248C">
      <w:pPr>
        <w:pStyle w:val="En-tte"/>
        <w:tabs>
          <w:tab w:val="clear" w:pos="4536"/>
          <w:tab w:val="clear" w:pos="9072"/>
        </w:tabs>
        <w:spacing w:line="280" w:lineRule="exact"/>
        <w:jc w:val="center"/>
        <w:rPr>
          <w:b/>
          <w:u w:val="single"/>
        </w:rPr>
      </w:pPr>
      <w:r w:rsidRPr="00B17651">
        <w:rPr>
          <w:b/>
          <w:u w:val="single"/>
        </w:rPr>
        <w:t>QUESTIONNAIRE A COMPLETER PAR LES PARTICIPANTS AU STAGE CCF COMPETENCES POUR LE BAC PRO</w:t>
      </w:r>
    </w:p>
    <w:p w:rsidR="001E3969" w:rsidRPr="00B17651" w:rsidRDefault="001E3969" w:rsidP="006B6C1F">
      <w:pPr>
        <w:pStyle w:val="En-tte"/>
        <w:tabs>
          <w:tab w:val="clear" w:pos="4536"/>
          <w:tab w:val="clear" w:pos="9072"/>
        </w:tabs>
        <w:spacing w:line="280" w:lineRule="exact"/>
      </w:pPr>
    </w:p>
    <w:tbl>
      <w:tblPr>
        <w:tblStyle w:val="Grilledutableau"/>
        <w:tblW w:w="14901" w:type="dxa"/>
        <w:jc w:val="center"/>
        <w:tblLook w:val="04A0"/>
      </w:tblPr>
      <w:tblGrid>
        <w:gridCol w:w="699"/>
        <w:gridCol w:w="3534"/>
        <w:gridCol w:w="5309"/>
        <w:gridCol w:w="5359"/>
      </w:tblGrid>
      <w:tr w:rsidR="008F5D07" w:rsidRPr="00B17651" w:rsidTr="008B450D">
        <w:trPr>
          <w:jc w:val="center"/>
        </w:trPr>
        <w:tc>
          <w:tcPr>
            <w:tcW w:w="699" w:type="dxa"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</w:pPr>
          </w:p>
        </w:tc>
        <w:tc>
          <w:tcPr>
            <w:tcW w:w="3534" w:type="dxa"/>
            <w:vAlign w:val="center"/>
          </w:tcPr>
          <w:p w:rsidR="008F5D07" w:rsidRPr="00B17651" w:rsidRDefault="008F5D07" w:rsidP="00C0248C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b/>
                <w:szCs w:val="20"/>
              </w:rPr>
            </w:pPr>
            <w:r w:rsidRPr="00B17651">
              <w:rPr>
                <w:b/>
              </w:rPr>
              <w:t>Questions</w:t>
            </w:r>
          </w:p>
        </w:tc>
        <w:tc>
          <w:tcPr>
            <w:tcW w:w="5309" w:type="dxa"/>
            <w:vAlign w:val="center"/>
          </w:tcPr>
          <w:p w:rsidR="008F5D07" w:rsidRPr="00B17651" w:rsidRDefault="008F5D07" w:rsidP="00E322CC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b/>
              </w:rPr>
            </w:pPr>
            <w:r w:rsidRPr="00B17651">
              <w:rPr>
                <w:b/>
              </w:rPr>
              <w:t xml:space="preserve">Ce qui se pratique dans </w:t>
            </w:r>
            <w:r w:rsidR="00E322CC" w:rsidRPr="00B17651">
              <w:rPr>
                <w:b/>
              </w:rPr>
              <w:t xml:space="preserve">votre </w:t>
            </w:r>
            <w:r w:rsidRPr="00B17651">
              <w:rPr>
                <w:b/>
              </w:rPr>
              <w:t>établissement</w:t>
            </w:r>
          </w:p>
        </w:tc>
        <w:tc>
          <w:tcPr>
            <w:tcW w:w="5359" w:type="dxa"/>
            <w:vAlign w:val="center"/>
          </w:tcPr>
          <w:p w:rsidR="008F5D07" w:rsidRPr="00B17651" w:rsidRDefault="008F5D07" w:rsidP="00E322CC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b/>
              </w:rPr>
            </w:pPr>
            <w:r w:rsidRPr="00B17651">
              <w:rPr>
                <w:b/>
              </w:rPr>
              <w:t>Ce que dit le ministère</w:t>
            </w:r>
            <w:r w:rsidR="00E322CC" w:rsidRPr="00B17651">
              <w:rPr>
                <w:b/>
              </w:rPr>
              <w:t>,</w:t>
            </w:r>
            <w:r w:rsidRPr="00B17651">
              <w:rPr>
                <w:b/>
              </w:rPr>
              <w:t xml:space="preserve"> la réglementation</w:t>
            </w:r>
            <w:r w:rsidR="00E322CC" w:rsidRPr="00B17651">
              <w:rPr>
                <w:b/>
              </w:rPr>
              <w:t xml:space="preserve"> ou l’inspection</w:t>
            </w:r>
          </w:p>
        </w:tc>
      </w:tr>
      <w:tr w:rsidR="00C0248C" w:rsidRPr="00B17651" w:rsidTr="00375D14">
        <w:trPr>
          <w:cantSplit/>
          <w:trHeight w:val="737"/>
          <w:jc w:val="center"/>
        </w:trPr>
        <w:tc>
          <w:tcPr>
            <w:tcW w:w="699" w:type="dxa"/>
            <w:vMerge w:val="restart"/>
            <w:textDirection w:val="btLr"/>
            <w:vAlign w:val="center"/>
          </w:tcPr>
          <w:p w:rsidR="00C0248C" w:rsidRPr="00B17651" w:rsidRDefault="00C0248C" w:rsidP="00C0248C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 w:right="113"/>
              <w:jc w:val="center"/>
              <w:rPr>
                <w:b/>
              </w:rPr>
            </w:pPr>
            <w:r w:rsidRPr="00B17651">
              <w:rPr>
                <w:b/>
              </w:rPr>
              <w:t>ADMINISTRATIF EN AMONT</w:t>
            </w:r>
          </w:p>
        </w:tc>
        <w:tc>
          <w:tcPr>
            <w:tcW w:w="3534" w:type="dxa"/>
            <w:vAlign w:val="center"/>
          </w:tcPr>
          <w:p w:rsidR="00C0248C" w:rsidRPr="00B17651" w:rsidRDefault="00C0248C" w:rsidP="002071DF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Quels sont les élèves de première qui doivent passer la certification intermédiaire?</w:t>
            </w:r>
          </w:p>
        </w:tc>
        <w:tc>
          <w:tcPr>
            <w:tcW w:w="530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C0248C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C0248C" w:rsidRPr="00B17651" w:rsidRDefault="00C0248C" w:rsidP="00C0248C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 xml:space="preserve">Le proviseur doit-il être prévenu des dates des CCF? </w:t>
            </w:r>
          </w:p>
        </w:tc>
        <w:tc>
          <w:tcPr>
            <w:tcW w:w="530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C0248C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C0248C" w:rsidRPr="00B17651" w:rsidRDefault="00C0248C" w:rsidP="002071DF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Pour un professeur, une convocation à un examen prime-t-elle sur un CCF organisé par ses soins?</w:t>
            </w:r>
          </w:p>
        </w:tc>
        <w:tc>
          <w:tcPr>
            <w:tcW w:w="530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C0248C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C0248C" w:rsidRPr="00B17651" w:rsidRDefault="00C0248C" w:rsidP="002071DF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Un élève redoublant sa seconde professionnelle doit-il repasser ses premières séquences d’évaluation?</w:t>
            </w:r>
          </w:p>
        </w:tc>
        <w:tc>
          <w:tcPr>
            <w:tcW w:w="530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C0248C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C0248C" w:rsidRPr="00B17651" w:rsidRDefault="00C0248C" w:rsidP="002071DF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Un élève redoublant sa première professionnelle doit-il repasser toutes ses séquences d’évaluation de seconde et première?</w:t>
            </w:r>
          </w:p>
        </w:tc>
        <w:tc>
          <w:tcPr>
            <w:tcW w:w="530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C0248C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C0248C" w:rsidRPr="00B17651" w:rsidRDefault="00C0248C" w:rsidP="002071DF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Un élève redoublant sa terminale professionnelle peut-il garder le bénéfice des notes d’un CCF?</w:t>
            </w:r>
          </w:p>
        </w:tc>
        <w:tc>
          <w:tcPr>
            <w:tcW w:w="530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C0248C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C0248C" w:rsidRPr="00B17651" w:rsidRDefault="00C0248C" w:rsidP="00C0248C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 xml:space="preserve">Dans quel établissement, un élève récemment arrivé avant une date butoir doit-il passer son CCF ? </w:t>
            </w:r>
          </w:p>
        </w:tc>
        <w:tc>
          <w:tcPr>
            <w:tcW w:w="530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C0248C" w:rsidRPr="00B17651" w:rsidRDefault="00C0248C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F5D07" w:rsidRPr="00B17651" w:rsidTr="00375D14">
        <w:trPr>
          <w:cantSplit/>
          <w:trHeight w:val="737"/>
          <w:jc w:val="center"/>
        </w:trPr>
        <w:tc>
          <w:tcPr>
            <w:tcW w:w="699" w:type="dxa"/>
            <w:vMerge w:val="restart"/>
            <w:textDirection w:val="btLr"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 w:right="113"/>
              <w:jc w:val="center"/>
              <w:rPr>
                <w:b/>
              </w:rPr>
            </w:pPr>
            <w:r w:rsidRPr="00B17651">
              <w:rPr>
                <w:b/>
              </w:rPr>
              <w:t>MODALITES D’EXAMEN</w:t>
            </w:r>
          </w:p>
        </w:tc>
        <w:tc>
          <w:tcPr>
            <w:tcW w:w="3534" w:type="dxa"/>
            <w:vAlign w:val="center"/>
          </w:tcPr>
          <w:p w:rsidR="008F5D07" w:rsidRPr="00B17651" w:rsidRDefault="008F5D07" w:rsidP="002071DF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 xml:space="preserve">Combien de situations d’évaluation par CCF </w:t>
            </w:r>
            <w:r w:rsidRPr="00B17651">
              <w:rPr>
                <w:sz w:val="16"/>
                <w:szCs w:val="16"/>
                <w:u w:val="single"/>
              </w:rPr>
              <w:t>en CAP autonome </w:t>
            </w:r>
            <w:r w:rsidRPr="00B17651">
              <w:rPr>
                <w:sz w:val="16"/>
                <w:szCs w:val="16"/>
              </w:rPr>
              <w:t>? Quelles sont les dates butoirs ?</w:t>
            </w:r>
          </w:p>
        </w:tc>
        <w:tc>
          <w:tcPr>
            <w:tcW w:w="5309" w:type="dxa"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F5D07" w:rsidRPr="00B17651" w:rsidRDefault="008F5D07" w:rsidP="00614D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F5D07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F5D07" w:rsidRPr="00B17651" w:rsidRDefault="008F5D07" w:rsidP="002071DF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Combien de situation</w:t>
            </w:r>
            <w:r w:rsidR="005B6F8A" w:rsidRPr="00B17651">
              <w:rPr>
                <w:sz w:val="16"/>
                <w:szCs w:val="16"/>
              </w:rPr>
              <w:t>s</w:t>
            </w:r>
            <w:r w:rsidRPr="00B17651">
              <w:rPr>
                <w:sz w:val="16"/>
                <w:szCs w:val="16"/>
              </w:rPr>
              <w:t xml:space="preserve"> d’évaluation par CCF </w:t>
            </w:r>
            <w:r w:rsidRPr="00B17651">
              <w:rPr>
                <w:sz w:val="16"/>
                <w:szCs w:val="16"/>
                <w:u w:val="single"/>
              </w:rPr>
              <w:t>en certification intermédiaire</w:t>
            </w:r>
            <w:r w:rsidRPr="00B17651">
              <w:rPr>
                <w:sz w:val="16"/>
                <w:szCs w:val="16"/>
              </w:rPr>
              <w:t> ? Quelles sont les dates butoirs ?</w:t>
            </w:r>
          </w:p>
        </w:tc>
        <w:tc>
          <w:tcPr>
            <w:tcW w:w="5309" w:type="dxa"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F5D07" w:rsidRPr="00B17651" w:rsidRDefault="008F5D07" w:rsidP="00614D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F5D07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F5D07" w:rsidRPr="00B17651" w:rsidRDefault="008F5D07" w:rsidP="002071DF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Combien de situation</w:t>
            </w:r>
            <w:r w:rsidR="005B6F8A" w:rsidRPr="00B17651">
              <w:rPr>
                <w:sz w:val="16"/>
                <w:szCs w:val="16"/>
              </w:rPr>
              <w:t>s</w:t>
            </w:r>
            <w:r w:rsidRPr="00B17651">
              <w:rPr>
                <w:sz w:val="16"/>
                <w:szCs w:val="16"/>
              </w:rPr>
              <w:t xml:space="preserve"> d’évaluation par CCF </w:t>
            </w:r>
            <w:r w:rsidRPr="00B17651">
              <w:rPr>
                <w:sz w:val="16"/>
                <w:szCs w:val="16"/>
                <w:u w:val="single"/>
              </w:rPr>
              <w:t>en certification terminale au bac pro</w:t>
            </w:r>
            <w:r w:rsidRPr="00B17651">
              <w:rPr>
                <w:sz w:val="16"/>
                <w:szCs w:val="16"/>
              </w:rPr>
              <w:t xml:space="preserve"> ? Quelles sont  les dates butoirs ?</w:t>
            </w:r>
          </w:p>
        </w:tc>
        <w:tc>
          <w:tcPr>
            <w:tcW w:w="5309" w:type="dxa"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F5D07" w:rsidRPr="00B17651" w:rsidRDefault="008F5D07" w:rsidP="00614DC4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F5D07" w:rsidRPr="00B17651" w:rsidTr="00375D14">
        <w:trPr>
          <w:cantSplit/>
          <w:trHeight w:val="737"/>
          <w:jc w:val="center"/>
        </w:trPr>
        <w:tc>
          <w:tcPr>
            <w:tcW w:w="699" w:type="dxa"/>
            <w:vMerge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F5D07" w:rsidRPr="00B17651" w:rsidRDefault="008F5D07" w:rsidP="005B6F8A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Quelles sont les durées des situations d’évaluation par CCF</w:t>
            </w:r>
            <w:r w:rsidR="005B6F8A" w:rsidRPr="00B17651">
              <w:rPr>
                <w:sz w:val="16"/>
                <w:szCs w:val="16"/>
              </w:rPr>
              <w:t xml:space="preserve"> lors d’une certification intermédiaire et d’une certification ?</w:t>
            </w:r>
          </w:p>
        </w:tc>
        <w:tc>
          <w:tcPr>
            <w:tcW w:w="5309" w:type="dxa"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F5D07" w:rsidRPr="00B17651" w:rsidRDefault="008F5D07" w:rsidP="00F66200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</w:tbl>
    <w:p w:rsidR="008B450D" w:rsidRPr="00B17651" w:rsidRDefault="008B450D">
      <w:r w:rsidRPr="00B17651">
        <w:br w:type="page"/>
      </w:r>
    </w:p>
    <w:tbl>
      <w:tblPr>
        <w:tblStyle w:val="Grilledutableau"/>
        <w:tblW w:w="14901" w:type="dxa"/>
        <w:jc w:val="center"/>
        <w:tblLook w:val="04A0"/>
      </w:tblPr>
      <w:tblGrid>
        <w:gridCol w:w="699"/>
        <w:gridCol w:w="3534"/>
        <w:gridCol w:w="5309"/>
        <w:gridCol w:w="5359"/>
      </w:tblGrid>
      <w:tr w:rsidR="008B450D" w:rsidRPr="00B17651" w:rsidTr="008B450D">
        <w:trPr>
          <w:jc w:val="center"/>
        </w:trPr>
        <w:tc>
          <w:tcPr>
            <w:tcW w:w="69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b/>
                <w:szCs w:val="20"/>
              </w:rPr>
            </w:pPr>
            <w:r w:rsidRPr="00B17651">
              <w:rPr>
                <w:b/>
              </w:rPr>
              <w:t>Questions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b/>
              </w:rPr>
            </w:pPr>
            <w:r w:rsidRPr="00B17651">
              <w:rPr>
                <w:b/>
              </w:rPr>
              <w:t>Ce qui se pratique dans votre établissement</w:t>
            </w: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b/>
              </w:rPr>
            </w:pPr>
            <w:r w:rsidRPr="00B17651">
              <w:rPr>
                <w:b/>
              </w:rPr>
              <w:t>Ce que dit le ministère, la réglementation ou l’inspection</w:t>
            </w: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 w:val="restart"/>
            <w:textDirection w:val="btLr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 w:right="113"/>
              <w:jc w:val="center"/>
              <w:rPr>
                <w:b/>
              </w:rPr>
            </w:pPr>
            <w:r w:rsidRPr="00B17651">
              <w:rPr>
                <w:b/>
              </w:rPr>
              <w:t>GESTION DU CCF</w:t>
            </w: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Comment communiquer les dates des situations d’évaluation aux élèves ?</w:t>
            </w:r>
            <w:r w:rsidR="002E2D89" w:rsidRPr="00B17651">
              <w:rPr>
                <w:sz w:val="16"/>
                <w:szCs w:val="16"/>
              </w:rPr>
              <w:t xml:space="preserve"> Peut-on convoquer les élèves sur une période d’une semaine ? d’un mois ? …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375D14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Combien d’élèves peut-on convoquer</w:t>
            </w:r>
            <w:r w:rsidR="00375D14" w:rsidRPr="00B17651">
              <w:rPr>
                <w:sz w:val="16"/>
                <w:szCs w:val="16"/>
              </w:rPr>
              <w:t xml:space="preserve"> en même temps</w:t>
            </w:r>
            <w:r w:rsidRPr="00B17651">
              <w:rPr>
                <w:sz w:val="16"/>
                <w:szCs w:val="16"/>
              </w:rPr>
              <w:t>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Peut-on banaliser une demi-journée pour un CCF 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Une évaluation commune pour plusieurs classes et différents professeurs est-elle possible?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422676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 xml:space="preserve">Les grilles nationales ou académiques d’évaluation par compétences sont-elles </w:t>
            </w:r>
            <w:r w:rsidR="00422676" w:rsidRPr="00B17651">
              <w:rPr>
                <w:sz w:val="16"/>
                <w:szCs w:val="16"/>
              </w:rPr>
              <w:t>obligatoires et modifiables</w:t>
            </w:r>
            <w:r w:rsidRPr="00B17651">
              <w:rPr>
                <w:sz w:val="16"/>
                <w:szCs w:val="16"/>
              </w:rPr>
              <w:t>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Qui juge de la recevabilité du motif de l’absence d’un candidat à un CCF 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Comment gérer les absences d’un candidat à une situation d’évaluation?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  <w:rPr>
                <w:b/>
              </w:rPr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Peut-on communiquer les notes au candidat 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 w:val="restart"/>
            <w:textDirection w:val="btLr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 w:right="113"/>
              <w:jc w:val="center"/>
              <w:rPr>
                <w:b/>
              </w:rPr>
            </w:pPr>
            <w:r w:rsidRPr="00B17651">
              <w:rPr>
                <w:b/>
              </w:rPr>
              <w:t>ADMINISTRATIF EN AVAL</w:t>
            </w: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Quelle est la composition d’un dossier d’évaluation par CCF 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Quels éléments du CCF faut-il faire suivre en cas de changement d’établissement d’un élève ? Qui fait les démarches 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Que fait-on en cas de non réception des notes et copies d’un nouvel élève 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Qui gère les dossiers de CCF des élèves et comment assurer cette gestion?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Pendant combien de temps cette gestion doit-elle être assurée?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  <w:tr w:rsidR="008B450D" w:rsidRPr="00B17651" w:rsidTr="00614DC4">
        <w:trPr>
          <w:cantSplit/>
          <w:trHeight w:val="624"/>
          <w:jc w:val="center"/>
        </w:trPr>
        <w:tc>
          <w:tcPr>
            <w:tcW w:w="699" w:type="dxa"/>
            <w:vMerge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18"/>
              <w:jc w:val="center"/>
            </w:pPr>
          </w:p>
        </w:tc>
        <w:tc>
          <w:tcPr>
            <w:tcW w:w="3534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sz w:val="16"/>
                <w:szCs w:val="16"/>
              </w:rPr>
            </w:pPr>
            <w:r w:rsidRPr="00B17651">
              <w:rPr>
                <w:sz w:val="16"/>
                <w:szCs w:val="16"/>
              </w:rPr>
              <w:t>Quelles sont les modalités de paiement  pour le passage de CCF en  certifications intermédiaire et terminale? Quel est le montant des rémunérations?</w:t>
            </w:r>
          </w:p>
        </w:tc>
        <w:tc>
          <w:tcPr>
            <w:tcW w:w="530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  <w:tc>
          <w:tcPr>
            <w:tcW w:w="5359" w:type="dxa"/>
            <w:vAlign w:val="center"/>
          </w:tcPr>
          <w:p w:rsidR="008B450D" w:rsidRPr="00B17651" w:rsidRDefault="008B450D" w:rsidP="00666AA1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</w:pPr>
          </w:p>
        </w:tc>
      </w:tr>
    </w:tbl>
    <w:p w:rsidR="008B450D" w:rsidRDefault="008B450D" w:rsidP="006B6C1F">
      <w:pPr>
        <w:pStyle w:val="En-tte"/>
        <w:tabs>
          <w:tab w:val="clear" w:pos="4536"/>
          <w:tab w:val="clear" w:pos="9072"/>
        </w:tabs>
        <w:spacing w:line="280" w:lineRule="exact"/>
      </w:pPr>
    </w:p>
    <w:sectPr w:rsidR="008B450D" w:rsidSect="00A61983">
      <w:footerReference w:type="default" r:id="rId8"/>
      <w:headerReference w:type="first" r:id="rId9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2D" w:rsidRDefault="00D36C2D">
      <w:r>
        <w:separator/>
      </w:r>
    </w:p>
  </w:endnote>
  <w:endnote w:type="continuationSeparator" w:id="0">
    <w:p w:rsidR="00D36C2D" w:rsidRDefault="00D3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068"/>
      <w:docPartObj>
        <w:docPartGallery w:val="Page Numbers (Bottom of Page)"/>
        <w:docPartUnique/>
      </w:docPartObj>
    </w:sdtPr>
    <w:sdtContent>
      <w:p w:rsidR="00375D14" w:rsidRDefault="007C0EE5" w:rsidP="00614DC4">
        <w:pPr>
          <w:pStyle w:val="Pieddepage"/>
          <w:jc w:val="right"/>
        </w:pPr>
        <w:fldSimple w:instr=" PAGE   \* MERGEFORMAT ">
          <w:r w:rsidR="00B17651">
            <w:rPr>
              <w:noProof/>
            </w:rPr>
            <w:t>1</w:t>
          </w:r>
        </w:fldSimple>
        <w:r w:rsidR="00614DC4">
          <w:t>/2</w:t>
        </w:r>
      </w:p>
    </w:sdtContent>
  </w:sdt>
  <w:p w:rsidR="00375D14" w:rsidRDefault="00375D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2D" w:rsidRDefault="00D36C2D">
      <w:r>
        <w:separator/>
      </w:r>
    </w:p>
  </w:footnote>
  <w:footnote w:type="continuationSeparator" w:id="0">
    <w:p w:rsidR="00D36C2D" w:rsidRDefault="00D36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0B" w:rsidRDefault="00DA409F" w:rsidP="00ED13B6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371475</wp:posOffset>
          </wp:positionH>
          <wp:positionV relativeFrom="page">
            <wp:posOffset>1313180</wp:posOffset>
          </wp:positionV>
          <wp:extent cx="1036955" cy="1370965"/>
          <wp:effectExtent l="0" t="0" r="0" b="0"/>
          <wp:wrapNone/>
          <wp:docPr id="12" name="Image 12" descr="blocmarq_MENJVA_MESR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ocmarq_MENJVA_MESR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0E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5.5pt;margin-top:204.7pt;width:104.9pt;height:566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" filled="f" stroked="f">
          <v:textbox inset="5mm,0,5mm,0">
            <w:txbxContent>
              <w:p w:rsidR="008A310B" w:rsidRDefault="008A310B">
                <w:pPr>
                  <w:pStyle w:val="Titre1"/>
                </w:pPr>
              </w:p>
              <w:p w:rsidR="008A310B" w:rsidRDefault="008A310B">
                <w:pPr>
                  <w:pStyle w:val="Titre1"/>
                </w:pPr>
                <w:r>
                  <w:t>Rectorat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Bureau 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des inspecteurs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de l’Education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nationale</w:t>
                </w:r>
              </w:p>
              <w:p w:rsidR="008A310B" w:rsidRDefault="001D47B6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de l’enseignement général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6"/>
                  </w:rPr>
                </w:pPr>
              </w:p>
              <w:p w:rsidR="008A310B" w:rsidRDefault="00DE5D65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François KUHN</w:t>
                </w:r>
              </w:p>
              <w:p w:rsidR="008A310B" w:rsidRDefault="001D47B6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IEN-EG</w:t>
                </w:r>
              </w:p>
              <w:p w:rsidR="008A310B" w:rsidRDefault="00DE5D65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d</w:t>
                </w:r>
                <w:r w:rsidR="008A310B">
                  <w:rPr>
                    <w:rFonts w:ascii="Arial Narrow" w:hAnsi="Arial Narrow"/>
                    <w:sz w:val="16"/>
                  </w:rPr>
                  <w:t>e</w:t>
                </w:r>
                <w:r>
                  <w:rPr>
                    <w:rFonts w:ascii="Arial Narrow" w:hAnsi="Arial Narrow"/>
                    <w:sz w:val="16"/>
                  </w:rPr>
                  <w:t xml:space="preserve"> mathématiques sciences physiques </w:t>
                </w:r>
                <w:r>
                  <w:rPr>
                    <w:rFonts w:ascii="Arial Narrow" w:hAnsi="Arial Narrow"/>
                    <w:sz w:val="16"/>
                  </w:rPr>
                  <w:br/>
                  <w:t>et chimiques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8A310B" w:rsidRDefault="00DE5D65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04 42 93 88 26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Fax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04 42 93 88 19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8A310B" w:rsidRDefault="00DE5D65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proofErr w:type="spellStart"/>
                <w:r>
                  <w:rPr>
                    <w:rFonts w:ascii="Arial Narrow" w:hAnsi="Arial Narrow"/>
                    <w:sz w:val="16"/>
                  </w:rPr>
                  <w:t>Francois.kuhn</w:t>
                </w:r>
                <w:proofErr w:type="spellEnd"/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@ac-aix-marseille.fr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sz w:val="16"/>
                  </w:rPr>
                </w:pPr>
              </w:p>
              <w:p w:rsidR="008A310B" w:rsidRDefault="008A310B">
                <w:pPr>
                  <w:pStyle w:val="Titre2"/>
                </w:pPr>
                <w:r>
                  <w:t>Place Lucien Paye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13621 Aix-en-Provence</w:t>
                </w:r>
              </w:p>
              <w:p w:rsidR="008A310B" w:rsidRDefault="008A310B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cedex 1</w:t>
                </w:r>
              </w:p>
              <w:p w:rsidR="008A310B" w:rsidRDefault="008A310B">
                <w:pPr>
                  <w:pStyle w:val="Titre1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drawing>
        <wp:inline distT="0" distB="0" distL="0" distR="0">
          <wp:extent cx="1371600" cy="828675"/>
          <wp:effectExtent l="0" t="0" r="0" b="0"/>
          <wp:docPr id="1" name="Image 1" descr="AM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M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7C60"/>
    <w:multiLevelType w:val="hybridMultilevel"/>
    <w:tmpl w:val="C82CE732"/>
    <w:lvl w:ilvl="0" w:tplc="DEFCF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6EBD"/>
    <w:rsid w:val="000027C4"/>
    <w:rsid w:val="0001233B"/>
    <w:rsid w:val="00060251"/>
    <w:rsid w:val="0006160F"/>
    <w:rsid w:val="00144E29"/>
    <w:rsid w:val="00160A8C"/>
    <w:rsid w:val="00180033"/>
    <w:rsid w:val="001B686F"/>
    <w:rsid w:val="001D47B6"/>
    <w:rsid w:val="001E3969"/>
    <w:rsid w:val="001E49C4"/>
    <w:rsid w:val="002071DF"/>
    <w:rsid w:val="00236A2D"/>
    <w:rsid w:val="00277EA8"/>
    <w:rsid w:val="002B2DB9"/>
    <w:rsid w:val="002E2B68"/>
    <w:rsid w:val="002E2D89"/>
    <w:rsid w:val="002E7939"/>
    <w:rsid w:val="00313428"/>
    <w:rsid w:val="003158F4"/>
    <w:rsid w:val="00340D50"/>
    <w:rsid w:val="00346DCB"/>
    <w:rsid w:val="00375D14"/>
    <w:rsid w:val="003F51DE"/>
    <w:rsid w:val="003F77FE"/>
    <w:rsid w:val="00412F53"/>
    <w:rsid w:val="00422676"/>
    <w:rsid w:val="00443414"/>
    <w:rsid w:val="0047447C"/>
    <w:rsid w:val="004823DE"/>
    <w:rsid w:val="0049690E"/>
    <w:rsid w:val="004A07FD"/>
    <w:rsid w:val="004B67F5"/>
    <w:rsid w:val="005B6F8A"/>
    <w:rsid w:val="005F6F23"/>
    <w:rsid w:val="00614DC4"/>
    <w:rsid w:val="0066159E"/>
    <w:rsid w:val="00666FA7"/>
    <w:rsid w:val="0068514A"/>
    <w:rsid w:val="006B123D"/>
    <w:rsid w:val="006B6C1F"/>
    <w:rsid w:val="007305E9"/>
    <w:rsid w:val="00753B4D"/>
    <w:rsid w:val="00762E0F"/>
    <w:rsid w:val="007C0EE5"/>
    <w:rsid w:val="007E63B0"/>
    <w:rsid w:val="007F22E4"/>
    <w:rsid w:val="00823E5A"/>
    <w:rsid w:val="00876983"/>
    <w:rsid w:val="008A13F9"/>
    <w:rsid w:val="008A310B"/>
    <w:rsid w:val="008B450D"/>
    <w:rsid w:val="008B5B92"/>
    <w:rsid w:val="008F5D07"/>
    <w:rsid w:val="00932099"/>
    <w:rsid w:val="00942BB7"/>
    <w:rsid w:val="00957516"/>
    <w:rsid w:val="00995EBD"/>
    <w:rsid w:val="009A61B1"/>
    <w:rsid w:val="009B7D4D"/>
    <w:rsid w:val="00A61983"/>
    <w:rsid w:val="00A67769"/>
    <w:rsid w:val="00AC643E"/>
    <w:rsid w:val="00B039F7"/>
    <w:rsid w:val="00B17651"/>
    <w:rsid w:val="00B206E1"/>
    <w:rsid w:val="00B97731"/>
    <w:rsid w:val="00BA71BD"/>
    <w:rsid w:val="00BC44DF"/>
    <w:rsid w:val="00C0248C"/>
    <w:rsid w:val="00C85BC7"/>
    <w:rsid w:val="00C8644F"/>
    <w:rsid w:val="00CA071A"/>
    <w:rsid w:val="00CA54FA"/>
    <w:rsid w:val="00CD63A2"/>
    <w:rsid w:val="00CF1585"/>
    <w:rsid w:val="00D12FBD"/>
    <w:rsid w:val="00D261ED"/>
    <w:rsid w:val="00D36C2D"/>
    <w:rsid w:val="00D80B23"/>
    <w:rsid w:val="00D80CF6"/>
    <w:rsid w:val="00DA228A"/>
    <w:rsid w:val="00DA409F"/>
    <w:rsid w:val="00DA6EBD"/>
    <w:rsid w:val="00DE4ADC"/>
    <w:rsid w:val="00DE5D65"/>
    <w:rsid w:val="00DF27F6"/>
    <w:rsid w:val="00E14A0E"/>
    <w:rsid w:val="00E322CC"/>
    <w:rsid w:val="00E85A53"/>
    <w:rsid w:val="00EA3AD6"/>
    <w:rsid w:val="00ED13B6"/>
    <w:rsid w:val="00EF54E6"/>
    <w:rsid w:val="00F30277"/>
    <w:rsid w:val="00F6123A"/>
    <w:rsid w:val="00F64D3F"/>
    <w:rsid w:val="00F66200"/>
    <w:rsid w:val="00F84A81"/>
    <w:rsid w:val="00F938F6"/>
    <w:rsid w:val="00F97889"/>
    <w:rsid w:val="00FC5BCF"/>
    <w:rsid w:val="00FE161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23D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rsid w:val="006B123D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rsid w:val="006B123D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6B123D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B12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123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A4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40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DF2"/>
    <w:pPr>
      <w:ind w:left="720"/>
      <w:contextualSpacing/>
    </w:pPr>
  </w:style>
  <w:style w:type="table" w:styleId="Grilledutableau">
    <w:name w:val="Table Grid"/>
    <w:basedOn w:val="TableauNormal"/>
    <w:rsid w:val="0049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75D14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A4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40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DF2"/>
    <w:pPr>
      <w:ind w:left="720"/>
      <w:contextualSpacing/>
    </w:pPr>
  </w:style>
  <w:style w:type="table" w:styleId="Grilledutableau">
    <w:name w:val="Table Grid"/>
    <w:basedOn w:val="TableauNormal"/>
    <w:rsid w:val="0049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24B1-F9BC-4CFF-9357-42FA3E67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Rectorat d'Aix Marseille</dc:creator>
  <cp:lastModifiedBy>ANGE</cp:lastModifiedBy>
  <cp:revision>2</cp:revision>
  <cp:lastPrinted>2001-09-21T12:45:00Z</cp:lastPrinted>
  <dcterms:created xsi:type="dcterms:W3CDTF">2012-12-03T13:18:00Z</dcterms:created>
  <dcterms:modified xsi:type="dcterms:W3CDTF">2012-12-03T13:18:00Z</dcterms:modified>
</cp:coreProperties>
</file>