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C4" w:rsidRDefault="00A14AC4" w:rsidP="00C05752">
      <w:pPr>
        <w:tabs>
          <w:tab w:val="left" w:pos="3780"/>
        </w:tabs>
        <w:ind w:right="747"/>
        <w:jc w:val="center"/>
        <w:rPr>
          <w:rFonts w:ascii="Arial" w:hAnsi="Arial" w:cs="Arial"/>
          <w:b/>
          <w:i/>
          <w:sz w:val="20"/>
          <w:szCs w:val="20"/>
        </w:rPr>
      </w:pPr>
    </w:p>
    <w:p w:rsidR="00587CB6" w:rsidRPr="00544862" w:rsidRDefault="00587CB6" w:rsidP="00587CB6">
      <w:pPr>
        <w:jc w:val="center"/>
        <w:rPr>
          <w:rFonts w:ascii="Arial" w:hAnsi="Arial" w:cs="Arial"/>
          <w:b/>
          <w:sz w:val="36"/>
          <w:szCs w:val="36"/>
        </w:rPr>
      </w:pPr>
      <w:r w:rsidRPr="00544862">
        <w:rPr>
          <w:rFonts w:ascii="Arial" w:hAnsi="Arial" w:cs="Arial"/>
          <w:b/>
          <w:sz w:val="36"/>
          <w:szCs w:val="36"/>
        </w:rPr>
        <w:t>Mise à disposition des ressources :</w:t>
      </w:r>
    </w:p>
    <w:p w:rsidR="00587CB6" w:rsidRPr="00544862" w:rsidRDefault="00587CB6" w:rsidP="00587CB6">
      <w:pPr>
        <w:jc w:val="center"/>
        <w:rPr>
          <w:rFonts w:ascii="Arial" w:hAnsi="Arial" w:cs="Arial"/>
          <w:b/>
          <w:sz w:val="36"/>
          <w:szCs w:val="36"/>
        </w:rPr>
      </w:pPr>
      <w:r w:rsidRPr="00544862">
        <w:rPr>
          <w:rFonts w:ascii="Arial" w:hAnsi="Arial" w:cs="Arial"/>
          <w:b/>
          <w:sz w:val="36"/>
          <w:szCs w:val="36"/>
        </w:rPr>
        <w:t>Coûts relatifs, disponibilité, impacts environnementaux des matériaux</w:t>
      </w:r>
    </w:p>
    <w:p w:rsidR="000A5CE8" w:rsidRDefault="000A5CE8" w:rsidP="00544862">
      <w:pPr>
        <w:tabs>
          <w:tab w:val="left" w:pos="11340"/>
        </w:tabs>
        <w:ind w:right="243"/>
        <w:rPr>
          <w:rFonts w:ascii="Arial" w:hAnsi="Arial" w:cs="Arial"/>
          <w:b/>
          <w:sz w:val="48"/>
          <w:szCs w:val="48"/>
        </w:rPr>
      </w:pPr>
    </w:p>
    <w:p w:rsidR="00CA7E58" w:rsidRPr="00544862" w:rsidRDefault="00810870" w:rsidP="00544862">
      <w:pPr>
        <w:tabs>
          <w:tab w:val="left" w:pos="142"/>
          <w:tab w:val="left" w:pos="11340"/>
        </w:tabs>
        <w:ind w:left="142" w:right="243"/>
        <w:jc w:val="center"/>
        <w:rPr>
          <w:rFonts w:ascii="Arial" w:hAnsi="Arial" w:cs="Arial"/>
          <w:b/>
          <w:sz w:val="48"/>
          <w:szCs w:val="48"/>
        </w:rPr>
      </w:pPr>
      <w:r w:rsidRPr="00544862">
        <w:rPr>
          <w:rFonts w:ascii="Arial" w:hAnsi="Arial" w:cs="Arial"/>
          <w:b/>
          <w:sz w:val="48"/>
          <w:szCs w:val="48"/>
        </w:rPr>
        <w:t>L’acier</w:t>
      </w:r>
      <w:r w:rsidR="00544862">
        <w:rPr>
          <w:rFonts w:ascii="Arial" w:hAnsi="Arial" w:cs="Arial"/>
          <w:b/>
          <w:sz w:val="48"/>
          <w:szCs w:val="48"/>
        </w:rPr>
        <w:t xml:space="preserve"> : un métal de très grande </w:t>
      </w:r>
      <w:r w:rsidR="00587CB6" w:rsidRPr="00544862">
        <w:rPr>
          <w:rFonts w:ascii="Arial" w:hAnsi="Arial" w:cs="Arial"/>
          <w:b/>
          <w:sz w:val="48"/>
          <w:szCs w:val="48"/>
        </w:rPr>
        <w:t>consommation</w:t>
      </w:r>
    </w:p>
    <w:p w:rsidR="00587CB6" w:rsidRDefault="00587CB6" w:rsidP="00587CB6">
      <w:pPr>
        <w:ind w:left="1134" w:right="747"/>
        <w:jc w:val="both"/>
        <w:rPr>
          <w:rFonts w:ascii="Arial" w:hAnsi="Arial" w:cs="Arial"/>
          <w:b/>
          <w:sz w:val="40"/>
          <w:szCs w:val="40"/>
        </w:rPr>
      </w:pPr>
    </w:p>
    <w:p w:rsidR="00556CEE" w:rsidRPr="00544862" w:rsidRDefault="00CA7E58" w:rsidP="00CA7E58">
      <w:pPr>
        <w:numPr>
          <w:ilvl w:val="0"/>
          <w:numId w:val="26"/>
        </w:numPr>
        <w:ind w:right="747"/>
        <w:jc w:val="both"/>
        <w:rPr>
          <w:rFonts w:ascii="Arial" w:hAnsi="Arial" w:cs="Arial"/>
          <w:b/>
          <w:sz w:val="32"/>
          <w:szCs w:val="32"/>
        </w:rPr>
      </w:pPr>
      <w:r w:rsidRPr="00544862">
        <w:rPr>
          <w:rFonts w:ascii="Arial" w:hAnsi="Arial" w:cs="Arial"/>
          <w:b/>
          <w:sz w:val="32"/>
          <w:szCs w:val="32"/>
        </w:rPr>
        <w:t>Usages</w:t>
      </w:r>
      <w:r w:rsidR="00A93799">
        <w:rPr>
          <w:rFonts w:ascii="Arial" w:hAnsi="Arial" w:cs="Arial"/>
          <w:b/>
          <w:sz w:val="32"/>
          <w:szCs w:val="32"/>
        </w:rPr>
        <w:t xml:space="preserve"> par secteur d’activité</w:t>
      </w:r>
      <w:r w:rsidRPr="00544862">
        <w:rPr>
          <w:rFonts w:ascii="Arial" w:hAnsi="Arial" w:cs="Arial"/>
          <w:b/>
          <w:sz w:val="32"/>
          <w:szCs w:val="32"/>
        </w:rPr>
        <w:t> :</w:t>
      </w:r>
      <w:r w:rsidR="00702145" w:rsidRPr="00544862">
        <w:rPr>
          <w:rFonts w:ascii="Arial" w:hAnsi="Arial" w:cs="Arial"/>
          <w:b/>
          <w:sz w:val="32"/>
          <w:szCs w:val="32"/>
        </w:rPr>
        <w:t xml:space="preserve"> </w:t>
      </w:r>
    </w:p>
    <w:p w:rsidR="00587CB6" w:rsidRDefault="00587CB6" w:rsidP="00587CB6">
      <w:pPr>
        <w:ind w:left="1429" w:right="747"/>
        <w:jc w:val="both"/>
        <w:rPr>
          <w:b/>
          <w:sz w:val="28"/>
          <w:szCs w:val="28"/>
        </w:rPr>
      </w:pPr>
    </w:p>
    <w:p w:rsidR="00544862" w:rsidRPr="00A93799" w:rsidRDefault="006B517C" w:rsidP="00A93799">
      <w:pPr>
        <w:pStyle w:val="Paragraphedeliste"/>
        <w:numPr>
          <w:ilvl w:val="0"/>
          <w:numId w:val="50"/>
        </w:numPr>
        <w:ind w:right="747" w:hanging="77"/>
        <w:jc w:val="both"/>
        <w:rPr>
          <w:sz w:val="28"/>
          <w:szCs w:val="28"/>
        </w:rPr>
      </w:pPr>
      <w:r w:rsidRPr="00A93799">
        <w:rPr>
          <w:sz w:val="28"/>
          <w:szCs w:val="28"/>
        </w:rPr>
        <w:t>L</w:t>
      </w:r>
      <w:r w:rsidR="00A93799" w:rsidRPr="00A93799">
        <w:rPr>
          <w:sz w:val="28"/>
          <w:szCs w:val="28"/>
        </w:rPr>
        <w:t>e secteur de l</w:t>
      </w:r>
      <w:r w:rsidR="00CA7E58" w:rsidRPr="00A93799">
        <w:rPr>
          <w:sz w:val="28"/>
          <w:szCs w:val="28"/>
        </w:rPr>
        <w:t>a construction</w:t>
      </w:r>
      <w:r w:rsidRPr="00A93799">
        <w:rPr>
          <w:sz w:val="28"/>
          <w:szCs w:val="28"/>
        </w:rPr>
        <w:t xml:space="preserve"> consomme </w:t>
      </w:r>
      <w:r w:rsidR="00CA7E58" w:rsidRPr="00A93799">
        <w:rPr>
          <w:sz w:val="28"/>
          <w:szCs w:val="28"/>
        </w:rPr>
        <w:t> </w:t>
      </w:r>
      <w:r w:rsidRPr="00A93799">
        <w:rPr>
          <w:sz w:val="28"/>
          <w:szCs w:val="28"/>
        </w:rPr>
        <w:t xml:space="preserve">50% de la masse d’acier produit : </w:t>
      </w:r>
      <w:r w:rsidR="00544862" w:rsidRPr="00A93799">
        <w:rPr>
          <w:sz w:val="28"/>
          <w:szCs w:val="28"/>
        </w:rPr>
        <w:t xml:space="preserve">plancher, </w:t>
      </w:r>
      <w:r w:rsidR="00A93799" w:rsidRPr="00A93799">
        <w:rPr>
          <w:sz w:val="28"/>
          <w:szCs w:val="28"/>
        </w:rPr>
        <w:t xml:space="preserve"> </w:t>
      </w:r>
      <w:r w:rsidR="00544862" w:rsidRPr="00A93799">
        <w:rPr>
          <w:sz w:val="28"/>
          <w:szCs w:val="28"/>
        </w:rPr>
        <w:t>cloisons,</w:t>
      </w:r>
      <w:r w:rsidR="00A93799" w:rsidRPr="00A93799">
        <w:rPr>
          <w:sz w:val="28"/>
          <w:szCs w:val="28"/>
        </w:rPr>
        <w:t xml:space="preserve"> toitures, armatures</w:t>
      </w:r>
    </w:p>
    <w:p w:rsidR="002E66AE" w:rsidRDefault="002E66AE" w:rsidP="00544862">
      <w:pPr>
        <w:numPr>
          <w:ilvl w:val="0"/>
          <w:numId w:val="50"/>
        </w:numPr>
        <w:ind w:left="567" w:right="747" w:firstLine="0"/>
        <w:jc w:val="both"/>
        <w:rPr>
          <w:sz w:val="28"/>
          <w:szCs w:val="28"/>
        </w:rPr>
      </w:pPr>
      <w:r>
        <w:rPr>
          <w:sz w:val="28"/>
          <w:szCs w:val="28"/>
        </w:rPr>
        <w:t>La machinerie industrielle (20%)</w:t>
      </w:r>
    </w:p>
    <w:p w:rsidR="006B517C" w:rsidRDefault="006B517C" w:rsidP="00544862">
      <w:pPr>
        <w:numPr>
          <w:ilvl w:val="0"/>
          <w:numId w:val="50"/>
        </w:numPr>
        <w:ind w:left="567" w:right="747" w:firstLine="0"/>
        <w:jc w:val="both"/>
        <w:rPr>
          <w:sz w:val="28"/>
          <w:szCs w:val="28"/>
        </w:rPr>
      </w:pPr>
      <w:r>
        <w:rPr>
          <w:sz w:val="28"/>
          <w:szCs w:val="28"/>
        </w:rPr>
        <w:t>L’automobile</w:t>
      </w:r>
      <w:r w:rsidR="002E66AE">
        <w:rPr>
          <w:sz w:val="28"/>
          <w:szCs w:val="28"/>
        </w:rPr>
        <w:t xml:space="preserve"> (20%)</w:t>
      </w:r>
      <w:r>
        <w:rPr>
          <w:sz w:val="28"/>
          <w:szCs w:val="28"/>
        </w:rPr>
        <w:t xml:space="preserve"> où l’acier représente ent</w:t>
      </w:r>
      <w:r w:rsidR="00A93799">
        <w:rPr>
          <w:sz w:val="28"/>
          <w:szCs w:val="28"/>
        </w:rPr>
        <w:t>re 55 et 70% de la masse totale</w:t>
      </w:r>
    </w:p>
    <w:p w:rsidR="006B517C" w:rsidRDefault="006B517C" w:rsidP="00544862">
      <w:pPr>
        <w:numPr>
          <w:ilvl w:val="0"/>
          <w:numId w:val="50"/>
        </w:numPr>
        <w:ind w:left="567" w:right="747" w:firstLine="0"/>
        <w:jc w:val="both"/>
        <w:rPr>
          <w:sz w:val="28"/>
          <w:szCs w:val="28"/>
        </w:rPr>
      </w:pPr>
      <w:r>
        <w:rPr>
          <w:sz w:val="28"/>
          <w:szCs w:val="28"/>
        </w:rPr>
        <w:t>L’emballage : boites de conserves, canettes, tubes de pâtes, aérosols, bidons…</w:t>
      </w:r>
    </w:p>
    <w:p w:rsidR="006B517C" w:rsidRDefault="006B517C" w:rsidP="00544862">
      <w:pPr>
        <w:numPr>
          <w:ilvl w:val="0"/>
          <w:numId w:val="50"/>
        </w:numPr>
        <w:ind w:left="567" w:right="747" w:firstLine="0"/>
        <w:jc w:val="both"/>
        <w:rPr>
          <w:sz w:val="28"/>
          <w:szCs w:val="28"/>
        </w:rPr>
      </w:pPr>
      <w:r>
        <w:rPr>
          <w:sz w:val="28"/>
          <w:szCs w:val="28"/>
        </w:rPr>
        <w:t>La communication avec des alliages très particuliers pour les composants électroniques</w:t>
      </w:r>
    </w:p>
    <w:p w:rsidR="006B517C" w:rsidRDefault="006B517C" w:rsidP="00544862">
      <w:pPr>
        <w:numPr>
          <w:ilvl w:val="0"/>
          <w:numId w:val="50"/>
        </w:numPr>
        <w:ind w:left="567" w:right="747" w:firstLine="0"/>
        <w:jc w:val="both"/>
        <w:rPr>
          <w:sz w:val="28"/>
          <w:szCs w:val="28"/>
        </w:rPr>
      </w:pPr>
      <w:r>
        <w:rPr>
          <w:sz w:val="28"/>
          <w:szCs w:val="28"/>
        </w:rPr>
        <w:t>La santé avec les pro</w:t>
      </w:r>
      <w:r w:rsidR="00A93799">
        <w:rPr>
          <w:sz w:val="28"/>
          <w:szCs w:val="28"/>
        </w:rPr>
        <w:t>priétés particulières de l’inox</w:t>
      </w:r>
    </w:p>
    <w:p w:rsidR="00587CB6" w:rsidRDefault="00587CB6" w:rsidP="006B517C">
      <w:pPr>
        <w:ind w:left="644" w:right="747"/>
        <w:jc w:val="both"/>
        <w:rPr>
          <w:sz w:val="28"/>
          <w:szCs w:val="28"/>
        </w:rPr>
      </w:pPr>
    </w:p>
    <w:p w:rsidR="006B517C" w:rsidRPr="00CA7E58" w:rsidRDefault="006B517C" w:rsidP="006B517C">
      <w:pPr>
        <w:ind w:left="644" w:right="747"/>
        <w:jc w:val="both"/>
        <w:rPr>
          <w:sz w:val="28"/>
          <w:szCs w:val="28"/>
        </w:rPr>
      </w:pPr>
    </w:p>
    <w:p w:rsidR="004434A0" w:rsidRPr="00544862" w:rsidRDefault="00CA7E58" w:rsidP="00544862">
      <w:pPr>
        <w:numPr>
          <w:ilvl w:val="0"/>
          <w:numId w:val="26"/>
        </w:numPr>
        <w:ind w:left="993" w:right="747" w:firstLine="0"/>
        <w:jc w:val="both"/>
        <w:rPr>
          <w:rFonts w:ascii="Arial" w:hAnsi="Arial" w:cs="Arial"/>
          <w:b/>
          <w:sz w:val="32"/>
          <w:szCs w:val="32"/>
        </w:rPr>
      </w:pPr>
      <w:r w:rsidRPr="00544862">
        <w:rPr>
          <w:rFonts w:ascii="Arial" w:hAnsi="Arial" w:cs="Arial"/>
          <w:b/>
          <w:sz w:val="32"/>
          <w:szCs w:val="32"/>
        </w:rPr>
        <w:t>Consommation mondiale </w:t>
      </w:r>
      <w:r w:rsidR="000074D9" w:rsidRPr="00544862">
        <w:rPr>
          <w:rFonts w:ascii="Arial" w:hAnsi="Arial" w:cs="Arial"/>
          <w:b/>
          <w:sz w:val="32"/>
          <w:szCs w:val="32"/>
        </w:rPr>
        <w:t>2012</w:t>
      </w:r>
      <w:r w:rsidRPr="00544862">
        <w:rPr>
          <w:rFonts w:ascii="Arial" w:hAnsi="Arial" w:cs="Arial"/>
          <w:b/>
          <w:sz w:val="32"/>
          <w:szCs w:val="32"/>
        </w:rPr>
        <w:t>:</w:t>
      </w:r>
    </w:p>
    <w:p w:rsidR="00CA7E58" w:rsidRDefault="005B1937" w:rsidP="000074D9">
      <w:pPr>
        <w:ind w:left="1429" w:right="747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0074D9">
        <w:rPr>
          <w:sz w:val="28"/>
          <w:szCs w:val="28"/>
        </w:rPr>
        <w:t xml:space="preserve">413 </w:t>
      </w:r>
      <w:r w:rsidR="004434A0" w:rsidRPr="004434A0">
        <w:rPr>
          <w:sz w:val="28"/>
          <w:szCs w:val="28"/>
        </w:rPr>
        <w:t>million</w:t>
      </w:r>
      <w:r>
        <w:rPr>
          <w:sz w:val="28"/>
          <w:szCs w:val="28"/>
        </w:rPr>
        <w:t>s</w:t>
      </w:r>
      <w:r w:rsidR="004434A0" w:rsidRPr="004434A0">
        <w:rPr>
          <w:sz w:val="28"/>
          <w:szCs w:val="28"/>
        </w:rPr>
        <w:t xml:space="preserve"> tonnes</w:t>
      </w:r>
      <w:r w:rsidR="00A93799">
        <w:rPr>
          <w:sz w:val="28"/>
          <w:szCs w:val="28"/>
        </w:rPr>
        <w:t xml:space="preserve"> (</w:t>
      </w:r>
      <w:proofErr w:type="spellStart"/>
      <w:r w:rsidR="00A93799">
        <w:rPr>
          <w:sz w:val="28"/>
          <w:szCs w:val="28"/>
        </w:rPr>
        <w:t>W</w:t>
      </w:r>
      <w:r w:rsidR="004434A0">
        <w:rPr>
          <w:sz w:val="28"/>
          <w:szCs w:val="28"/>
        </w:rPr>
        <w:t>orld</w:t>
      </w:r>
      <w:r w:rsidR="00A93799">
        <w:rPr>
          <w:sz w:val="28"/>
          <w:szCs w:val="28"/>
        </w:rPr>
        <w:t>steel</w:t>
      </w:r>
      <w:proofErr w:type="spellEnd"/>
      <w:r w:rsidR="00A93799">
        <w:rPr>
          <w:sz w:val="28"/>
          <w:szCs w:val="28"/>
        </w:rPr>
        <w:t xml:space="preserve"> A</w:t>
      </w:r>
      <w:r w:rsidR="004434A0">
        <w:rPr>
          <w:sz w:val="28"/>
          <w:szCs w:val="28"/>
        </w:rPr>
        <w:t>ssociation 2013)</w:t>
      </w:r>
    </w:p>
    <w:p w:rsidR="00CA7E58" w:rsidRDefault="00544862" w:rsidP="00DC2BCB">
      <w:pPr>
        <w:ind w:left="284" w:right="74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1510030</wp:posOffset>
            </wp:positionH>
            <wp:positionV relativeFrom="margin">
              <wp:posOffset>4669155</wp:posOffset>
            </wp:positionV>
            <wp:extent cx="4762500" cy="1771650"/>
            <wp:effectExtent l="0" t="0" r="0" b="0"/>
            <wp:wrapSquare wrapText="bothSides"/>
            <wp:docPr id="3" name="Obje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497E21" w:rsidRDefault="00497E21" w:rsidP="00DC2BCB">
      <w:pPr>
        <w:ind w:left="284" w:right="747"/>
        <w:jc w:val="center"/>
        <w:rPr>
          <w:sz w:val="28"/>
          <w:szCs w:val="28"/>
        </w:rPr>
      </w:pPr>
    </w:p>
    <w:p w:rsidR="00497E21" w:rsidRDefault="00497E21" w:rsidP="00DC2BCB">
      <w:pPr>
        <w:ind w:left="284" w:right="747"/>
        <w:jc w:val="center"/>
        <w:rPr>
          <w:sz w:val="28"/>
          <w:szCs w:val="28"/>
        </w:rPr>
      </w:pPr>
    </w:p>
    <w:p w:rsidR="00497E21" w:rsidRDefault="00497E21" w:rsidP="00DC2BCB">
      <w:pPr>
        <w:ind w:left="284" w:right="747"/>
        <w:jc w:val="center"/>
        <w:rPr>
          <w:sz w:val="28"/>
          <w:szCs w:val="28"/>
        </w:rPr>
      </w:pPr>
    </w:p>
    <w:p w:rsidR="00587CB6" w:rsidRDefault="00587CB6" w:rsidP="00DC2BCB">
      <w:pPr>
        <w:ind w:left="284" w:right="747"/>
        <w:jc w:val="center"/>
        <w:rPr>
          <w:sz w:val="28"/>
          <w:szCs w:val="28"/>
        </w:rPr>
      </w:pPr>
    </w:p>
    <w:p w:rsidR="00544862" w:rsidRDefault="00544862" w:rsidP="00DC2BCB">
      <w:pPr>
        <w:ind w:left="284" w:right="747"/>
        <w:jc w:val="center"/>
        <w:rPr>
          <w:sz w:val="28"/>
          <w:szCs w:val="28"/>
        </w:rPr>
      </w:pPr>
    </w:p>
    <w:p w:rsidR="00544862" w:rsidRDefault="00544862" w:rsidP="00DC2BCB">
      <w:pPr>
        <w:ind w:left="284" w:right="747"/>
        <w:jc w:val="center"/>
        <w:rPr>
          <w:sz w:val="28"/>
          <w:szCs w:val="28"/>
        </w:rPr>
      </w:pPr>
    </w:p>
    <w:p w:rsidR="00544862" w:rsidRDefault="00544862" w:rsidP="00DC2BCB">
      <w:pPr>
        <w:ind w:left="284" w:right="747"/>
        <w:jc w:val="center"/>
        <w:rPr>
          <w:sz w:val="28"/>
          <w:szCs w:val="28"/>
        </w:rPr>
      </w:pPr>
    </w:p>
    <w:p w:rsidR="00587CB6" w:rsidRPr="00CA7E58" w:rsidRDefault="00587CB6" w:rsidP="00DC2BCB">
      <w:pPr>
        <w:ind w:left="284" w:right="747"/>
        <w:jc w:val="center"/>
        <w:rPr>
          <w:sz w:val="28"/>
          <w:szCs w:val="28"/>
        </w:rPr>
      </w:pPr>
    </w:p>
    <w:p w:rsidR="001B36BD" w:rsidRPr="00544862" w:rsidRDefault="00CA7E58" w:rsidP="00544862">
      <w:pPr>
        <w:numPr>
          <w:ilvl w:val="0"/>
          <w:numId w:val="26"/>
        </w:numPr>
        <w:ind w:right="747"/>
        <w:jc w:val="both"/>
        <w:rPr>
          <w:rFonts w:ascii="Arial" w:hAnsi="Arial" w:cs="Arial"/>
          <w:b/>
          <w:sz w:val="32"/>
          <w:szCs w:val="32"/>
        </w:rPr>
      </w:pPr>
      <w:r w:rsidRPr="00544862">
        <w:rPr>
          <w:rFonts w:ascii="Arial" w:hAnsi="Arial" w:cs="Arial"/>
          <w:b/>
          <w:sz w:val="32"/>
          <w:szCs w:val="32"/>
        </w:rPr>
        <w:t>Production mondiale </w:t>
      </w:r>
      <w:r w:rsidR="000074D9" w:rsidRPr="00544862">
        <w:rPr>
          <w:rFonts w:ascii="Arial" w:hAnsi="Arial" w:cs="Arial"/>
          <w:b/>
          <w:sz w:val="32"/>
          <w:szCs w:val="32"/>
        </w:rPr>
        <w:t>2012</w:t>
      </w:r>
      <w:r w:rsidRPr="00544862">
        <w:rPr>
          <w:rFonts w:ascii="Arial" w:hAnsi="Arial" w:cs="Arial"/>
          <w:b/>
          <w:sz w:val="32"/>
          <w:szCs w:val="32"/>
        </w:rPr>
        <w:t>:</w:t>
      </w:r>
    </w:p>
    <w:p w:rsidR="001B36BD" w:rsidRDefault="005B1937" w:rsidP="005B1937">
      <w:pPr>
        <w:ind w:left="1429" w:right="74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36BD" w:rsidRPr="001B36BD">
        <w:rPr>
          <w:sz w:val="28"/>
          <w:szCs w:val="28"/>
        </w:rPr>
        <w:t>547 million</w:t>
      </w:r>
      <w:r>
        <w:rPr>
          <w:sz w:val="28"/>
          <w:szCs w:val="28"/>
        </w:rPr>
        <w:t>s</w:t>
      </w:r>
      <w:r w:rsidR="001B36BD" w:rsidRPr="001B36BD">
        <w:rPr>
          <w:sz w:val="28"/>
          <w:szCs w:val="28"/>
        </w:rPr>
        <w:t xml:space="preserve"> </w:t>
      </w:r>
      <w:r w:rsidR="000074D9">
        <w:rPr>
          <w:sz w:val="28"/>
          <w:szCs w:val="28"/>
        </w:rPr>
        <w:t xml:space="preserve">tonnes </w:t>
      </w:r>
      <w:r w:rsidR="00A93799">
        <w:rPr>
          <w:sz w:val="28"/>
          <w:szCs w:val="28"/>
        </w:rPr>
        <w:t>(</w:t>
      </w:r>
      <w:proofErr w:type="spellStart"/>
      <w:r w:rsidR="00A93799">
        <w:rPr>
          <w:sz w:val="28"/>
          <w:szCs w:val="28"/>
        </w:rPr>
        <w:t>W</w:t>
      </w:r>
      <w:r w:rsidR="001B36BD">
        <w:rPr>
          <w:sz w:val="28"/>
          <w:szCs w:val="28"/>
        </w:rPr>
        <w:t>orld</w:t>
      </w:r>
      <w:r w:rsidR="00A93799">
        <w:rPr>
          <w:sz w:val="28"/>
          <w:szCs w:val="28"/>
        </w:rPr>
        <w:t>steel</w:t>
      </w:r>
      <w:proofErr w:type="spellEnd"/>
      <w:r w:rsidR="00A93799">
        <w:rPr>
          <w:sz w:val="28"/>
          <w:szCs w:val="28"/>
        </w:rPr>
        <w:t xml:space="preserve"> A</w:t>
      </w:r>
      <w:r w:rsidR="001B36BD">
        <w:rPr>
          <w:sz w:val="28"/>
          <w:szCs w:val="28"/>
        </w:rPr>
        <w:t>ssociation 20</w:t>
      </w:r>
      <w:r w:rsidR="00A93799">
        <w:rPr>
          <w:sz w:val="28"/>
          <w:szCs w:val="28"/>
        </w:rPr>
        <w:t>13) en augmentation depuis 1950</w:t>
      </w:r>
      <w:r w:rsidR="001B36BD">
        <w:rPr>
          <w:sz w:val="28"/>
          <w:szCs w:val="28"/>
        </w:rPr>
        <w:t xml:space="preserve"> </w:t>
      </w:r>
    </w:p>
    <w:p w:rsidR="00497E21" w:rsidRDefault="00544862" w:rsidP="00497E21">
      <w:pPr>
        <w:ind w:right="747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1700530</wp:posOffset>
            </wp:positionH>
            <wp:positionV relativeFrom="margin">
              <wp:posOffset>6974205</wp:posOffset>
            </wp:positionV>
            <wp:extent cx="4476750" cy="1752600"/>
            <wp:effectExtent l="19050" t="0" r="0" b="0"/>
            <wp:wrapSquare wrapText="bothSides"/>
            <wp:docPr id="4" name="Obje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587CB6" w:rsidRDefault="00587CB6" w:rsidP="00497E21">
      <w:pPr>
        <w:ind w:right="747"/>
        <w:rPr>
          <w:sz w:val="28"/>
          <w:szCs w:val="28"/>
        </w:rPr>
      </w:pPr>
    </w:p>
    <w:p w:rsidR="00587CB6" w:rsidRDefault="00587CB6" w:rsidP="00497E21">
      <w:pPr>
        <w:ind w:right="747"/>
        <w:rPr>
          <w:rFonts w:ascii="Arial" w:hAnsi="Arial" w:cs="Arial"/>
          <w:sz w:val="32"/>
          <w:szCs w:val="32"/>
        </w:rPr>
      </w:pPr>
    </w:p>
    <w:p w:rsidR="00544862" w:rsidRDefault="00544862" w:rsidP="00497E21">
      <w:pPr>
        <w:ind w:right="747"/>
        <w:rPr>
          <w:rFonts w:ascii="Arial" w:hAnsi="Arial" w:cs="Arial"/>
          <w:sz w:val="32"/>
          <w:szCs w:val="32"/>
        </w:rPr>
      </w:pPr>
    </w:p>
    <w:p w:rsidR="00544862" w:rsidRDefault="00544862" w:rsidP="00497E21">
      <w:pPr>
        <w:ind w:right="747"/>
        <w:rPr>
          <w:rFonts w:ascii="Arial" w:hAnsi="Arial" w:cs="Arial"/>
          <w:sz w:val="32"/>
          <w:szCs w:val="32"/>
        </w:rPr>
      </w:pPr>
    </w:p>
    <w:p w:rsidR="00544862" w:rsidRDefault="00544862" w:rsidP="00497E21">
      <w:pPr>
        <w:ind w:right="747"/>
        <w:rPr>
          <w:rFonts w:ascii="Arial" w:hAnsi="Arial" w:cs="Arial"/>
          <w:sz w:val="32"/>
          <w:szCs w:val="32"/>
        </w:rPr>
      </w:pPr>
    </w:p>
    <w:p w:rsidR="00544862" w:rsidRDefault="00544862" w:rsidP="00497E21">
      <w:pPr>
        <w:ind w:right="747"/>
        <w:rPr>
          <w:rFonts w:ascii="Arial" w:hAnsi="Arial" w:cs="Arial"/>
          <w:sz w:val="32"/>
          <w:szCs w:val="32"/>
        </w:rPr>
      </w:pPr>
    </w:p>
    <w:p w:rsidR="00544862" w:rsidRPr="00544862" w:rsidRDefault="00544862" w:rsidP="00497E21">
      <w:pPr>
        <w:ind w:right="747"/>
        <w:rPr>
          <w:rFonts w:ascii="Arial" w:hAnsi="Arial" w:cs="Arial"/>
          <w:sz w:val="32"/>
          <w:szCs w:val="32"/>
        </w:rPr>
      </w:pPr>
    </w:p>
    <w:p w:rsidR="00587CB6" w:rsidRPr="00544862" w:rsidRDefault="00CA7E58" w:rsidP="00587CB6">
      <w:pPr>
        <w:numPr>
          <w:ilvl w:val="0"/>
          <w:numId w:val="26"/>
        </w:numPr>
        <w:ind w:right="747"/>
        <w:jc w:val="both"/>
        <w:rPr>
          <w:rFonts w:ascii="Arial" w:hAnsi="Arial" w:cs="Arial"/>
          <w:b/>
          <w:sz w:val="32"/>
          <w:szCs w:val="32"/>
        </w:rPr>
      </w:pPr>
      <w:r w:rsidRPr="00544862">
        <w:rPr>
          <w:rFonts w:ascii="Arial" w:hAnsi="Arial" w:cs="Arial"/>
          <w:b/>
          <w:sz w:val="32"/>
          <w:szCs w:val="32"/>
        </w:rPr>
        <w:t>Cours du minera</w:t>
      </w:r>
      <w:r w:rsidR="00A15069" w:rsidRPr="00544862">
        <w:rPr>
          <w:rFonts w:ascii="Arial" w:hAnsi="Arial" w:cs="Arial"/>
          <w:b/>
          <w:sz w:val="32"/>
          <w:szCs w:val="32"/>
        </w:rPr>
        <w:t xml:space="preserve">i de fer </w:t>
      </w:r>
      <w:r w:rsidR="00D94027" w:rsidRPr="00544862">
        <w:rPr>
          <w:rFonts w:ascii="Arial" w:hAnsi="Arial" w:cs="Arial"/>
          <w:b/>
          <w:sz w:val="32"/>
          <w:szCs w:val="32"/>
        </w:rPr>
        <w:t>en dollars par tonne</w:t>
      </w:r>
    </w:p>
    <w:p w:rsidR="00CA7E58" w:rsidRDefault="00AC3253" w:rsidP="00656324">
      <w:pPr>
        <w:ind w:left="284" w:right="74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0" cy="2324100"/>
            <wp:effectExtent l="0" t="0" r="0" b="0"/>
            <wp:docPr id="8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96711" w:rsidRPr="00544862" w:rsidRDefault="00D3408C" w:rsidP="00D3408C">
      <w:pPr>
        <w:numPr>
          <w:ilvl w:val="0"/>
          <w:numId w:val="26"/>
        </w:numPr>
        <w:ind w:right="747"/>
        <w:jc w:val="both"/>
        <w:rPr>
          <w:rFonts w:ascii="Arial" w:hAnsi="Arial" w:cs="Arial"/>
          <w:b/>
          <w:sz w:val="32"/>
          <w:szCs w:val="32"/>
        </w:rPr>
      </w:pPr>
      <w:r w:rsidRPr="00544862">
        <w:rPr>
          <w:rFonts w:ascii="Arial" w:hAnsi="Arial" w:cs="Arial"/>
          <w:b/>
          <w:sz w:val="32"/>
          <w:szCs w:val="32"/>
        </w:rPr>
        <w:t>Indice des prix de l’acier allié (indice 100 = base 2010)</w:t>
      </w:r>
    </w:p>
    <w:p w:rsidR="00596711" w:rsidRPr="00D94027" w:rsidRDefault="00596711" w:rsidP="00D3408C">
      <w:pPr>
        <w:ind w:left="567" w:right="747"/>
        <w:jc w:val="both"/>
        <w:rPr>
          <w:b/>
          <w:sz w:val="28"/>
          <w:szCs w:val="28"/>
        </w:rPr>
      </w:pPr>
      <w:r w:rsidRPr="00596711">
        <w:rPr>
          <w:b/>
          <w:noProof/>
          <w:sz w:val="28"/>
          <w:szCs w:val="28"/>
        </w:rPr>
        <w:drawing>
          <wp:inline distT="0" distB="0" distL="0" distR="0">
            <wp:extent cx="5263116" cy="2115880"/>
            <wp:effectExtent l="0" t="0" r="0" b="0"/>
            <wp:docPr id="10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94027" w:rsidRDefault="00D3408C" w:rsidP="00656324">
      <w:pPr>
        <w:ind w:left="284" w:right="747"/>
        <w:jc w:val="both"/>
        <w:rPr>
          <w:sz w:val="28"/>
          <w:szCs w:val="28"/>
        </w:rPr>
      </w:pPr>
      <w:r>
        <w:rPr>
          <w:sz w:val="28"/>
          <w:szCs w:val="28"/>
        </w:rPr>
        <w:t>La tonne d’acier vaut aux environ de 300€.</w:t>
      </w:r>
    </w:p>
    <w:p w:rsidR="00D94027" w:rsidRPr="00CA7E58" w:rsidRDefault="00D94027" w:rsidP="00D94027">
      <w:pPr>
        <w:ind w:right="747"/>
        <w:jc w:val="both"/>
        <w:rPr>
          <w:sz w:val="28"/>
          <w:szCs w:val="28"/>
        </w:rPr>
      </w:pPr>
    </w:p>
    <w:p w:rsidR="00CA7E58" w:rsidRPr="00A93799" w:rsidRDefault="00CA7E58" w:rsidP="00CA7E58">
      <w:pPr>
        <w:numPr>
          <w:ilvl w:val="0"/>
          <w:numId w:val="26"/>
        </w:numPr>
        <w:ind w:right="747"/>
        <w:jc w:val="both"/>
        <w:rPr>
          <w:rFonts w:ascii="Arial" w:hAnsi="Arial" w:cs="Arial"/>
          <w:b/>
          <w:sz w:val="32"/>
          <w:szCs w:val="32"/>
        </w:rPr>
      </w:pPr>
      <w:r w:rsidRPr="00A93799">
        <w:rPr>
          <w:rFonts w:ascii="Arial" w:hAnsi="Arial" w:cs="Arial"/>
          <w:b/>
          <w:sz w:val="32"/>
          <w:szCs w:val="32"/>
        </w:rPr>
        <w:t>Disponibilité :</w:t>
      </w:r>
    </w:p>
    <w:p w:rsidR="000B6FDA" w:rsidRDefault="00D94027" w:rsidP="000B6FDA">
      <w:pPr>
        <w:ind w:left="284" w:right="74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105410</wp:posOffset>
            </wp:positionH>
            <wp:positionV relativeFrom="margin">
              <wp:posOffset>5822950</wp:posOffset>
            </wp:positionV>
            <wp:extent cx="4786630" cy="2413000"/>
            <wp:effectExtent l="19050" t="0" r="0" b="0"/>
            <wp:wrapSquare wrapText="bothSides"/>
            <wp:docPr id="9" name="Image 1" descr="http://r0.unctad.org/infocomm/francais/fer/images/cartecommer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0.unctad.org/infocomm/francais/fer/images/cartecommerc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30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FDA" w:rsidRDefault="001C60CE" w:rsidP="00A93799">
      <w:pPr>
        <w:ind w:right="7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fer est très présent dans la croûte terrestre </w:t>
      </w:r>
      <w:r w:rsidR="00D96C9C">
        <w:rPr>
          <w:sz w:val="28"/>
          <w:szCs w:val="28"/>
        </w:rPr>
        <w:t xml:space="preserve"> et ne semble pas poser de problème au niveau de sa disponibilité dan</w:t>
      </w:r>
      <w:r w:rsidR="00E54C2D">
        <w:rPr>
          <w:sz w:val="28"/>
          <w:szCs w:val="28"/>
        </w:rPr>
        <w:t>s</w:t>
      </w:r>
      <w:r w:rsidR="00D96C9C">
        <w:rPr>
          <w:sz w:val="28"/>
          <w:szCs w:val="28"/>
        </w:rPr>
        <w:t xml:space="preserve"> les années à venir.</w:t>
      </w:r>
      <w:r w:rsidR="000B6FDA">
        <w:rPr>
          <w:sz w:val="28"/>
          <w:szCs w:val="28"/>
        </w:rPr>
        <w:t xml:space="preserve"> </w:t>
      </w:r>
    </w:p>
    <w:p w:rsidR="000B6FDA" w:rsidRDefault="000B6FDA" w:rsidP="00A93799">
      <w:pPr>
        <w:ind w:left="567" w:right="747"/>
        <w:jc w:val="both"/>
        <w:rPr>
          <w:sz w:val="28"/>
          <w:szCs w:val="28"/>
        </w:rPr>
      </w:pPr>
    </w:p>
    <w:p w:rsidR="00CA7E58" w:rsidRDefault="006F110C" w:rsidP="00A93799">
      <w:pPr>
        <w:ind w:left="567" w:right="747"/>
        <w:jc w:val="both"/>
        <w:rPr>
          <w:sz w:val="28"/>
          <w:szCs w:val="28"/>
        </w:rPr>
      </w:pPr>
      <w:r>
        <w:rPr>
          <w:sz w:val="28"/>
          <w:szCs w:val="28"/>
        </w:rPr>
        <w:t>60% de l’acier provient directement du minerai de fer</w:t>
      </w:r>
      <w:r w:rsidR="000B6FDA">
        <w:rPr>
          <w:sz w:val="28"/>
          <w:szCs w:val="28"/>
        </w:rPr>
        <w:t>.</w:t>
      </w:r>
    </w:p>
    <w:p w:rsidR="000B6FDA" w:rsidRDefault="000B6FDA" w:rsidP="000B6FDA">
      <w:pPr>
        <w:ind w:right="747"/>
        <w:jc w:val="both"/>
        <w:rPr>
          <w:sz w:val="28"/>
          <w:szCs w:val="28"/>
        </w:rPr>
      </w:pPr>
    </w:p>
    <w:p w:rsidR="000B6FDA" w:rsidRDefault="000B6FDA" w:rsidP="000B6FDA">
      <w:pPr>
        <w:ind w:right="747"/>
        <w:jc w:val="both"/>
        <w:rPr>
          <w:sz w:val="28"/>
          <w:szCs w:val="28"/>
        </w:rPr>
      </w:pPr>
    </w:p>
    <w:p w:rsidR="000B6FDA" w:rsidRDefault="00C00B71" w:rsidP="000B6FDA">
      <w:pPr>
        <w:ind w:right="747"/>
        <w:jc w:val="both"/>
        <w:rPr>
          <w:sz w:val="28"/>
          <w:szCs w:val="28"/>
        </w:rPr>
      </w:pPr>
      <w:r w:rsidRPr="00C00B71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19.25pt;margin-top:2.8pt;width:421.5pt;height:37.5pt;z-index:251670528" stroked="f">
            <v:textbox style="mso-next-textbox:#_x0000_s1027">
              <w:txbxContent>
                <w:p w:rsidR="001C60CE" w:rsidRDefault="001C60CE" w:rsidP="000B6FDA">
                  <w:pPr>
                    <w:jc w:val="center"/>
                  </w:pPr>
                  <w:r>
                    <w:t xml:space="preserve">Source : CNUCED </w:t>
                  </w:r>
                  <w:r w:rsidRPr="001C60CE">
                    <w:t>statistiques du Projet de fonds d'affectation spéciale pour la publication d'information sur le minerai de fe</w:t>
                  </w:r>
                  <w:r>
                    <w:t>r</w:t>
                  </w:r>
                </w:p>
              </w:txbxContent>
            </v:textbox>
          </v:shape>
        </w:pict>
      </w:r>
    </w:p>
    <w:p w:rsidR="00D94027" w:rsidRPr="00CA7E58" w:rsidRDefault="00D94027" w:rsidP="000B6FDA">
      <w:pPr>
        <w:ind w:right="747"/>
        <w:jc w:val="both"/>
        <w:rPr>
          <w:sz w:val="28"/>
          <w:szCs w:val="28"/>
        </w:rPr>
      </w:pPr>
    </w:p>
    <w:p w:rsidR="00544862" w:rsidRDefault="00544862" w:rsidP="00544862">
      <w:pPr>
        <w:ind w:left="1429" w:right="747"/>
        <w:jc w:val="both"/>
        <w:rPr>
          <w:b/>
          <w:sz w:val="28"/>
          <w:szCs w:val="28"/>
        </w:rPr>
      </w:pPr>
    </w:p>
    <w:p w:rsidR="00CA7E58" w:rsidRPr="00544862" w:rsidRDefault="00CA7E58" w:rsidP="00CA7E58">
      <w:pPr>
        <w:numPr>
          <w:ilvl w:val="0"/>
          <w:numId w:val="26"/>
        </w:numPr>
        <w:ind w:right="747"/>
        <w:jc w:val="both"/>
        <w:rPr>
          <w:rFonts w:ascii="Arial" w:hAnsi="Arial" w:cs="Arial"/>
          <w:b/>
          <w:sz w:val="32"/>
          <w:szCs w:val="32"/>
        </w:rPr>
      </w:pPr>
      <w:r w:rsidRPr="00544862">
        <w:rPr>
          <w:rFonts w:ascii="Arial" w:hAnsi="Arial" w:cs="Arial"/>
          <w:b/>
          <w:sz w:val="32"/>
          <w:szCs w:val="32"/>
        </w:rPr>
        <w:t>Recyclage :</w:t>
      </w:r>
    </w:p>
    <w:p w:rsidR="00BC4E10" w:rsidRDefault="00BC4E10" w:rsidP="000B6FDA">
      <w:pPr>
        <w:ind w:left="567" w:right="747"/>
        <w:jc w:val="both"/>
        <w:rPr>
          <w:sz w:val="28"/>
          <w:szCs w:val="28"/>
        </w:rPr>
      </w:pPr>
    </w:p>
    <w:p w:rsidR="00CA7E58" w:rsidRDefault="006F110C" w:rsidP="000B6FDA">
      <w:pPr>
        <w:ind w:left="567" w:right="747"/>
        <w:jc w:val="both"/>
        <w:rPr>
          <w:iCs/>
          <w:sz w:val="28"/>
          <w:szCs w:val="28"/>
        </w:rPr>
      </w:pPr>
      <w:r>
        <w:rPr>
          <w:sz w:val="28"/>
          <w:szCs w:val="28"/>
        </w:rPr>
        <w:t>L’acier est totalement recyclable</w:t>
      </w:r>
      <w:r w:rsidR="00A15069">
        <w:rPr>
          <w:sz w:val="28"/>
          <w:szCs w:val="28"/>
        </w:rPr>
        <w:t xml:space="preserve"> indéfiniment ;</w:t>
      </w:r>
      <w:r w:rsidR="00825A71">
        <w:rPr>
          <w:sz w:val="28"/>
          <w:szCs w:val="28"/>
        </w:rPr>
        <w:t xml:space="preserve"> il est recyclé à 82% dans le monde selon </w:t>
      </w:r>
      <w:proofErr w:type="spellStart"/>
      <w:r w:rsidR="00825A71">
        <w:rPr>
          <w:sz w:val="28"/>
          <w:szCs w:val="28"/>
        </w:rPr>
        <w:t>Worldsteel</w:t>
      </w:r>
      <w:proofErr w:type="spellEnd"/>
      <w:r w:rsidR="00825A71">
        <w:rPr>
          <w:sz w:val="28"/>
          <w:szCs w:val="28"/>
        </w:rPr>
        <w:t xml:space="preserve"> Asso</w:t>
      </w:r>
      <w:r w:rsidR="00A15069">
        <w:rPr>
          <w:sz w:val="28"/>
          <w:szCs w:val="28"/>
        </w:rPr>
        <w:t>c</w:t>
      </w:r>
      <w:r w:rsidR="00825A71">
        <w:rPr>
          <w:sz w:val="28"/>
          <w:szCs w:val="28"/>
        </w:rPr>
        <w:t xml:space="preserve">iation </w:t>
      </w:r>
      <w:r>
        <w:rPr>
          <w:sz w:val="28"/>
          <w:szCs w:val="28"/>
        </w:rPr>
        <w:t xml:space="preserve"> et 40% de la production mondiale provient des ferrailles</w:t>
      </w:r>
      <w:r w:rsidRPr="006F110C">
        <w:rPr>
          <w:sz w:val="28"/>
          <w:szCs w:val="28"/>
        </w:rPr>
        <w:t xml:space="preserve">, </w:t>
      </w:r>
      <w:r w:rsidRPr="006F110C">
        <w:rPr>
          <w:iCs/>
          <w:sz w:val="28"/>
          <w:szCs w:val="28"/>
        </w:rPr>
        <w:t>il est actuellement le matériau avec le meilleur taux de réutilisation.</w:t>
      </w:r>
      <w:r>
        <w:rPr>
          <w:iCs/>
          <w:sz w:val="28"/>
          <w:szCs w:val="28"/>
        </w:rPr>
        <w:t xml:space="preserve"> </w:t>
      </w:r>
    </w:p>
    <w:p w:rsidR="00BC4E10" w:rsidRDefault="00BC4E10" w:rsidP="000B6FDA">
      <w:pPr>
        <w:ind w:left="567" w:right="747"/>
        <w:jc w:val="both"/>
        <w:rPr>
          <w:sz w:val="28"/>
          <w:szCs w:val="28"/>
        </w:rPr>
      </w:pPr>
    </w:p>
    <w:p w:rsidR="006F110C" w:rsidRDefault="00825A71" w:rsidP="000B6FDA">
      <w:pPr>
        <w:ind w:left="567" w:right="7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recyclage est extrêmement positif car il </w:t>
      </w:r>
      <w:r w:rsidRPr="00825A71">
        <w:rPr>
          <w:sz w:val="28"/>
          <w:szCs w:val="28"/>
        </w:rPr>
        <w:t xml:space="preserve">réduit les transports </w:t>
      </w:r>
      <w:r>
        <w:rPr>
          <w:sz w:val="28"/>
          <w:szCs w:val="28"/>
        </w:rPr>
        <w:t>(</w:t>
      </w:r>
      <w:r w:rsidRPr="00825A71">
        <w:rPr>
          <w:sz w:val="28"/>
          <w:szCs w:val="28"/>
        </w:rPr>
        <w:t>la ferraille est produite dans les zones également consommatrices d'acier</w:t>
      </w:r>
      <w:r>
        <w:rPr>
          <w:sz w:val="28"/>
          <w:szCs w:val="28"/>
        </w:rPr>
        <w:t xml:space="preserve">), il est économe en énergie car la première transformation est déjà effectuée ce qui permet </w:t>
      </w:r>
      <w:r w:rsidRPr="00825A71">
        <w:rPr>
          <w:sz w:val="28"/>
          <w:szCs w:val="28"/>
        </w:rPr>
        <w:t>de diminuer de 58% les émissions de CO</w:t>
      </w:r>
      <w:r w:rsidRPr="00825A71">
        <w:rPr>
          <w:sz w:val="28"/>
          <w:szCs w:val="28"/>
          <w:vertAlign w:val="subscript"/>
        </w:rPr>
        <w:t>2 </w:t>
      </w:r>
      <w:r w:rsidRPr="00825A71">
        <w:rPr>
          <w:sz w:val="28"/>
          <w:szCs w:val="28"/>
        </w:rPr>
        <w:t>par rapport à la fabrication à partir de la matière vierge</w:t>
      </w:r>
      <w:r>
        <w:rPr>
          <w:sz w:val="28"/>
          <w:szCs w:val="28"/>
        </w:rPr>
        <w:t>.</w:t>
      </w:r>
    </w:p>
    <w:p w:rsidR="00BC4E10" w:rsidRDefault="00BC4E10" w:rsidP="000A5CE8">
      <w:pPr>
        <w:ind w:left="567" w:right="747"/>
        <w:jc w:val="both"/>
        <w:rPr>
          <w:sz w:val="28"/>
          <w:szCs w:val="28"/>
        </w:rPr>
      </w:pPr>
    </w:p>
    <w:p w:rsidR="00825A71" w:rsidRDefault="00A15069" w:rsidP="000A5CE8">
      <w:pPr>
        <w:ind w:left="567" w:right="747"/>
        <w:jc w:val="both"/>
        <w:rPr>
          <w:sz w:val="28"/>
          <w:szCs w:val="28"/>
        </w:rPr>
      </w:pPr>
      <w:r>
        <w:rPr>
          <w:sz w:val="28"/>
          <w:szCs w:val="28"/>
        </w:rPr>
        <w:t>Les limites du recyclage apparaissent dès que l’on utilise des alliages particuliers que se soit comme matières prem</w:t>
      </w:r>
      <w:r w:rsidR="000B6FDA">
        <w:rPr>
          <w:sz w:val="28"/>
          <w:szCs w:val="28"/>
        </w:rPr>
        <w:t>ières (les ferrailles seront à traiter pour séparer les éléments d’addition) ou comme matières à réaliser (les ferrailles sont à compléter pour l’obtention de l’alliage).</w:t>
      </w:r>
    </w:p>
    <w:p w:rsidR="00BC4E10" w:rsidRDefault="00BC4E10" w:rsidP="000A5CE8">
      <w:pPr>
        <w:ind w:left="567" w:right="747"/>
        <w:jc w:val="both"/>
        <w:rPr>
          <w:sz w:val="28"/>
          <w:szCs w:val="28"/>
        </w:rPr>
      </w:pPr>
    </w:p>
    <w:p w:rsidR="00297D2A" w:rsidRPr="00CA7E58" w:rsidRDefault="00297D2A" w:rsidP="000A5CE8">
      <w:pPr>
        <w:ind w:left="567" w:right="747"/>
        <w:jc w:val="both"/>
        <w:rPr>
          <w:sz w:val="28"/>
          <w:szCs w:val="28"/>
        </w:rPr>
      </w:pPr>
    </w:p>
    <w:p w:rsidR="00CA7E58" w:rsidRPr="00544862" w:rsidRDefault="00CA7E58" w:rsidP="00CA7E58">
      <w:pPr>
        <w:numPr>
          <w:ilvl w:val="0"/>
          <w:numId w:val="26"/>
        </w:numPr>
        <w:ind w:right="747"/>
        <w:jc w:val="both"/>
        <w:rPr>
          <w:rFonts w:ascii="Arial" w:hAnsi="Arial" w:cs="Arial"/>
          <w:b/>
          <w:sz w:val="32"/>
          <w:szCs w:val="32"/>
        </w:rPr>
      </w:pPr>
      <w:r w:rsidRPr="00544862">
        <w:rPr>
          <w:rFonts w:ascii="Arial" w:hAnsi="Arial" w:cs="Arial"/>
          <w:b/>
          <w:sz w:val="32"/>
          <w:szCs w:val="32"/>
        </w:rPr>
        <w:t>Impacts environnementaux :</w:t>
      </w:r>
    </w:p>
    <w:p w:rsidR="00BC4E10" w:rsidRDefault="00BC4E10" w:rsidP="000B6FDA">
      <w:pPr>
        <w:ind w:left="567" w:right="747"/>
        <w:jc w:val="both"/>
        <w:rPr>
          <w:sz w:val="28"/>
          <w:szCs w:val="28"/>
        </w:rPr>
      </w:pPr>
    </w:p>
    <w:p w:rsidR="00A15069" w:rsidRDefault="00A15069" w:rsidP="000B6FDA">
      <w:pPr>
        <w:ind w:left="567" w:right="747"/>
        <w:jc w:val="both"/>
        <w:rPr>
          <w:sz w:val="28"/>
          <w:szCs w:val="28"/>
        </w:rPr>
      </w:pPr>
      <w:r w:rsidRPr="00A93799">
        <w:rPr>
          <w:b/>
          <w:sz w:val="28"/>
          <w:szCs w:val="28"/>
        </w:rPr>
        <w:t>Extraction du minerai :</w:t>
      </w:r>
      <w:r>
        <w:rPr>
          <w:sz w:val="28"/>
          <w:szCs w:val="28"/>
        </w:rPr>
        <w:t xml:space="preserve"> </w:t>
      </w:r>
      <w:r w:rsidR="00BC4E10">
        <w:rPr>
          <w:sz w:val="28"/>
          <w:szCs w:val="28"/>
        </w:rPr>
        <w:t xml:space="preserve">Il faut noter une </w:t>
      </w:r>
      <w:r>
        <w:rPr>
          <w:sz w:val="28"/>
          <w:szCs w:val="28"/>
        </w:rPr>
        <w:t xml:space="preserve">augmentation de la masse </w:t>
      </w:r>
      <w:r w:rsidR="00BC4E10">
        <w:rPr>
          <w:sz w:val="28"/>
          <w:szCs w:val="28"/>
        </w:rPr>
        <w:t xml:space="preserve">de déchets </w:t>
      </w:r>
      <w:r>
        <w:rPr>
          <w:sz w:val="28"/>
          <w:szCs w:val="28"/>
        </w:rPr>
        <w:t xml:space="preserve">due à </w:t>
      </w:r>
      <w:r w:rsidR="000B6FDA">
        <w:rPr>
          <w:sz w:val="28"/>
          <w:szCs w:val="28"/>
        </w:rPr>
        <w:t>la dim</w:t>
      </w:r>
      <w:r>
        <w:rPr>
          <w:sz w:val="28"/>
          <w:szCs w:val="28"/>
        </w:rPr>
        <w:t xml:space="preserve">inution de la qualité du minerai extrait </w:t>
      </w:r>
      <w:r w:rsidR="00A93799">
        <w:rPr>
          <w:sz w:val="28"/>
          <w:szCs w:val="28"/>
        </w:rPr>
        <w:t>lors d’une extraction plus</w:t>
      </w:r>
      <w:r w:rsidR="00BC4E10">
        <w:rPr>
          <w:sz w:val="28"/>
          <w:szCs w:val="28"/>
        </w:rPr>
        <w:t xml:space="preserve"> profonde. Ainsi actuellement la masse de déchets  représente environ trois fois </w:t>
      </w:r>
      <w:r w:rsidR="00A93799">
        <w:rPr>
          <w:sz w:val="28"/>
          <w:szCs w:val="28"/>
        </w:rPr>
        <w:t xml:space="preserve">la </w:t>
      </w:r>
      <w:r w:rsidR="00BC4E10">
        <w:rPr>
          <w:sz w:val="28"/>
          <w:szCs w:val="28"/>
        </w:rPr>
        <w:t xml:space="preserve">masse </w:t>
      </w:r>
      <w:r w:rsidR="00A93799">
        <w:rPr>
          <w:sz w:val="28"/>
          <w:szCs w:val="28"/>
        </w:rPr>
        <w:t xml:space="preserve">de </w:t>
      </w:r>
      <w:r w:rsidR="00BC4E10">
        <w:rPr>
          <w:sz w:val="28"/>
          <w:szCs w:val="28"/>
        </w:rPr>
        <w:t>minerai extrait.</w:t>
      </w:r>
    </w:p>
    <w:p w:rsidR="00BC4E10" w:rsidRDefault="00BC4E10" w:rsidP="000B6FDA">
      <w:pPr>
        <w:ind w:left="567" w:right="747"/>
        <w:jc w:val="both"/>
        <w:rPr>
          <w:sz w:val="28"/>
          <w:szCs w:val="28"/>
        </w:rPr>
      </w:pPr>
    </w:p>
    <w:p w:rsidR="00A93799" w:rsidRDefault="00A15069" w:rsidP="000B6FDA">
      <w:pPr>
        <w:ind w:left="567" w:right="747"/>
        <w:jc w:val="both"/>
        <w:rPr>
          <w:sz w:val="28"/>
          <w:szCs w:val="28"/>
        </w:rPr>
      </w:pPr>
      <w:r w:rsidRPr="00A93799">
        <w:rPr>
          <w:b/>
          <w:sz w:val="28"/>
          <w:szCs w:val="28"/>
        </w:rPr>
        <w:t>Transformation en acier :</w:t>
      </w:r>
      <w:r>
        <w:rPr>
          <w:sz w:val="28"/>
          <w:szCs w:val="28"/>
        </w:rPr>
        <w:t xml:space="preserve"> </w:t>
      </w:r>
      <w:r w:rsidR="00BC4E10">
        <w:rPr>
          <w:sz w:val="28"/>
          <w:szCs w:val="28"/>
        </w:rPr>
        <w:t xml:space="preserve">Cette étape est </w:t>
      </w:r>
      <w:r w:rsidRPr="00A15069">
        <w:rPr>
          <w:sz w:val="28"/>
          <w:szCs w:val="28"/>
        </w:rPr>
        <w:t xml:space="preserve">énergivore. </w:t>
      </w:r>
      <w:r w:rsidR="00BC4E10">
        <w:rPr>
          <w:sz w:val="28"/>
          <w:szCs w:val="28"/>
        </w:rPr>
        <w:t>On compte</w:t>
      </w:r>
      <w:r w:rsidRPr="00A15069">
        <w:rPr>
          <w:sz w:val="28"/>
          <w:szCs w:val="28"/>
        </w:rPr>
        <w:t xml:space="preserve"> 1,7 tonne de CO</w:t>
      </w:r>
      <w:r w:rsidRPr="00BC4E10">
        <w:rPr>
          <w:sz w:val="28"/>
          <w:szCs w:val="28"/>
          <w:vertAlign w:val="subscript"/>
        </w:rPr>
        <w:t>2</w:t>
      </w:r>
      <w:r w:rsidR="00A93799">
        <w:rPr>
          <w:sz w:val="28"/>
          <w:szCs w:val="28"/>
          <w:vertAlign w:val="subscript"/>
        </w:rPr>
        <w:t>eq</w:t>
      </w:r>
      <w:r w:rsidRPr="00A15069">
        <w:rPr>
          <w:sz w:val="28"/>
          <w:szCs w:val="28"/>
        </w:rPr>
        <w:t xml:space="preserve"> émise par tonne d’acier.  </w:t>
      </w:r>
    </w:p>
    <w:p w:rsidR="00CA7E58" w:rsidRDefault="00BC4E10" w:rsidP="000B6FDA">
      <w:pPr>
        <w:ind w:left="567" w:right="747"/>
        <w:jc w:val="both"/>
        <w:rPr>
          <w:sz w:val="28"/>
          <w:szCs w:val="28"/>
        </w:rPr>
      </w:pPr>
      <w:r>
        <w:rPr>
          <w:sz w:val="28"/>
          <w:szCs w:val="28"/>
        </w:rPr>
        <w:t>De ce fait, l</w:t>
      </w:r>
      <w:r w:rsidR="00825A71" w:rsidRPr="00825A71">
        <w:rPr>
          <w:sz w:val="28"/>
          <w:szCs w:val="28"/>
        </w:rPr>
        <w:t>e secteur de l’acier représente</w:t>
      </w:r>
      <w:r w:rsidR="00A15069">
        <w:rPr>
          <w:sz w:val="28"/>
          <w:szCs w:val="28"/>
        </w:rPr>
        <w:t xml:space="preserve"> 5 à 6% des émissions mondiales de CO</w:t>
      </w:r>
      <w:r w:rsidR="00A15069" w:rsidRPr="00BC4E10">
        <w:rPr>
          <w:sz w:val="28"/>
          <w:szCs w:val="28"/>
          <w:vertAlign w:val="subscript"/>
        </w:rPr>
        <w:t>2</w:t>
      </w:r>
      <w:r w:rsidR="00A15069">
        <w:rPr>
          <w:sz w:val="28"/>
          <w:szCs w:val="28"/>
        </w:rPr>
        <w:t>.</w:t>
      </w:r>
    </w:p>
    <w:p w:rsidR="00A15069" w:rsidRDefault="00A15069" w:rsidP="000B6FDA">
      <w:pPr>
        <w:ind w:left="567" w:right="747"/>
        <w:jc w:val="both"/>
        <w:rPr>
          <w:sz w:val="28"/>
          <w:szCs w:val="28"/>
        </w:rPr>
      </w:pPr>
    </w:p>
    <w:p w:rsidR="00297D2A" w:rsidRPr="00CA7E58" w:rsidRDefault="00297D2A" w:rsidP="000B6FDA">
      <w:pPr>
        <w:ind w:left="567" w:right="747"/>
        <w:jc w:val="both"/>
        <w:rPr>
          <w:sz w:val="28"/>
          <w:szCs w:val="28"/>
        </w:rPr>
      </w:pPr>
    </w:p>
    <w:p w:rsidR="00CA7E58" w:rsidRPr="00544862" w:rsidRDefault="00CA7E58" w:rsidP="00CA7E58">
      <w:pPr>
        <w:numPr>
          <w:ilvl w:val="0"/>
          <w:numId w:val="26"/>
        </w:numPr>
        <w:ind w:right="747"/>
        <w:jc w:val="both"/>
        <w:rPr>
          <w:rFonts w:ascii="Arial" w:hAnsi="Arial" w:cs="Arial"/>
          <w:b/>
          <w:sz w:val="32"/>
          <w:szCs w:val="32"/>
        </w:rPr>
      </w:pPr>
      <w:r w:rsidRPr="00544862">
        <w:rPr>
          <w:rFonts w:ascii="Arial" w:hAnsi="Arial" w:cs="Arial"/>
          <w:b/>
          <w:sz w:val="32"/>
          <w:szCs w:val="32"/>
        </w:rPr>
        <w:t>Criticité :</w:t>
      </w:r>
    </w:p>
    <w:p w:rsidR="00BC4E10" w:rsidRDefault="00BC4E10" w:rsidP="006571E1">
      <w:pPr>
        <w:ind w:left="567" w:right="747"/>
        <w:jc w:val="both"/>
        <w:rPr>
          <w:sz w:val="28"/>
          <w:szCs w:val="28"/>
        </w:rPr>
      </w:pPr>
    </w:p>
    <w:p w:rsidR="00912264" w:rsidRPr="00CA7E58" w:rsidRDefault="000B6FDA" w:rsidP="006571E1">
      <w:pPr>
        <w:ind w:left="567" w:right="747"/>
        <w:jc w:val="both"/>
        <w:rPr>
          <w:sz w:val="28"/>
          <w:szCs w:val="28"/>
        </w:rPr>
      </w:pPr>
      <w:r>
        <w:rPr>
          <w:sz w:val="28"/>
          <w:szCs w:val="28"/>
        </w:rPr>
        <w:t>Elle ne se situe pas dans un manque de matière mais dans une augme</w:t>
      </w:r>
      <w:r w:rsidR="00A93799">
        <w:rPr>
          <w:sz w:val="28"/>
          <w:szCs w:val="28"/>
        </w:rPr>
        <w:t>ntation de la demande qui implique</w:t>
      </w:r>
      <w:r>
        <w:rPr>
          <w:sz w:val="28"/>
          <w:szCs w:val="28"/>
        </w:rPr>
        <w:t xml:space="preserve"> de forts impacts environnementaux</w:t>
      </w:r>
      <w:r w:rsidR="00A93799">
        <w:rPr>
          <w:sz w:val="28"/>
          <w:szCs w:val="28"/>
        </w:rPr>
        <w:t>, notamment de cause énergétiqu</w:t>
      </w:r>
      <w:r>
        <w:rPr>
          <w:sz w:val="28"/>
          <w:szCs w:val="28"/>
        </w:rPr>
        <w:t>e</w:t>
      </w:r>
      <w:r w:rsidR="00A93799">
        <w:rPr>
          <w:sz w:val="28"/>
          <w:szCs w:val="28"/>
        </w:rPr>
        <w:t>,</w:t>
      </w:r>
      <w:r>
        <w:rPr>
          <w:sz w:val="28"/>
          <w:szCs w:val="28"/>
        </w:rPr>
        <w:t xml:space="preserve"> même si de  nets progrès sont en cours.</w:t>
      </w:r>
    </w:p>
    <w:p w:rsidR="00912264" w:rsidRDefault="00912264" w:rsidP="00556CEE">
      <w:pPr>
        <w:ind w:right="747"/>
        <w:jc w:val="both"/>
        <w:rPr>
          <w:rFonts w:ascii="Arial" w:hAnsi="Arial" w:cs="Arial"/>
          <w:b/>
          <w:sz w:val="28"/>
          <w:szCs w:val="28"/>
        </w:rPr>
      </w:pPr>
    </w:p>
    <w:p w:rsidR="00D4229C" w:rsidRDefault="00D4229C" w:rsidP="00556CEE">
      <w:pPr>
        <w:ind w:right="747"/>
        <w:jc w:val="both"/>
        <w:rPr>
          <w:rFonts w:ascii="Arial" w:hAnsi="Arial" w:cs="Arial"/>
          <w:b/>
          <w:sz w:val="28"/>
          <w:szCs w:val="28"/>
        </w:rPr>
      </w:pPr>
    </w:p>
    <w:p w:rsidR="00587CB6" w:rsidRDefault="00587CB6" w:rsidP="00556CEE">
      <w:pPr>
        <w:ind w:right="747"/>
        <w:jc w:val="both"/>
        <w:rPr>
          <w:rFonts w:ascii="Arial" w:hAnsi="Arial" w:cs="Arial"/>
          <w:b/>
          <w:sz w:val="28"/>
          <w:szCs w:val="28"/>
        </w:rPr>
      </w:pPr>
    </w:p>
    <w:p w:rsidR="00587CB6" w:rsidRDefault="00587CB6" w:rsidP="00556CEE">
      <w:pPr>
        <w:ind w:right="747"/>
        <w:jc w:val="both"/>
        <w:rPr>
          <w:rFonts w:ascii="Arial" w:hAnsi="Arial" w:cs="Arial"/>
          <w:b/>
          <w:sz w:val="28"/>
          <w:szCs w:val="28"/>
        </w:rPr>
      </w:pPr>
    </w:p>
    <w:p w:rsidR="00587CB6" w:rsidRDefault="00587CB6" w:rsidP="00556CEE">
      <w:pPr>
        <w:ind w:right="747"/>
        <w:jc w:val="both"/>
        <w:rPr>
          <w:rFonts w:ascii="Arial" w:hAnsi="Arial" w:cs="Arial"/>
          <w:b/>
          <w:sz w:val="28"/>
          <w:szCs w:val="28"/>
        </w:rPr>
      </w:pPr>
    </w:p>
    <w:p w:rsidR="00587CB6" w:rsidRDefault="00587CB6" w:rsidP="00556CEE">
      <w:pPr>
        <w:ind w:right="747"/>
        <w:jc w:val="both"/>
        <w:rPr>
          <w:rFonts w:ascii="Arial" w:hAnsi="Arial" w:cs="Arial"/>
          <w:b/>
          <w:sz w:val="28"/>
          <w:szCs w:val="28"/>
        </w:rPr>
      </w:pPr>
    </w:p>
    <w:p w:rsidR="00587CB6" w:rsidRDefault="00587CB6" w:rsidP="00556CEE">
      <w:pPr>
        <w:ind w:right="747"/>
        <w:jc w:val="both"/>
        <w:rPr>
          <w:rFonts w:ascii="Arial" w:hAnsi="Arial" w:cs="Arial"/>
          <w:b/>
          <w:sz w:val="28"/>
          <w:szCs w:val="28"/>
        </w:rPr>
      </w:pPr>
    </w:p>
    <w:p w:rsidR="00556CEE" w:rsidRDefault="00556CEE" w:rsidP="00D94027">
      <w:pPr>
        <w:ind w:right="747"/>
        <w:jc w:val="both"/>
        <w:rPr>
          <w:sz w:val="28"/>
          <w:szCs w:val="28"/>
        </w:rPr>
      </w:pPr>
    </w:p>
    <w:sectPr w:rsidR="00556CEE" w:rsidSect="00986EF6">
      <w:headerReference w:type="default" r:id="rId13"/>
      <w:footerReference w:type="even" r:id="rId14"/>
      <w:footerReference w:type="default" r:id="rId15"/>
      <w:pgSz w:w="11906" w:h="16838" w:code="9"/>
      <w:pgMar w:top="1797" w:right="232" w:bottom="851" w:left="232" w:header="142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C0F" w:rsidRDefault="00842C0F">
      <w:r>
        <w:separator/>
      </w:r>
    </w:p>
  </w:endnote>
  <w:endnote w:type="continuationSeparator" w:id="0">
    <w:p w:rsidR="00842C0F" w:rsidRDefault="00842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9A1" w:rsidRDefault="00C00B7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659A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659A1" w:rsidRDefault="00A659A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9A1" w:rsidRDefault="00A659A1" w:rsidP="00A12965">
    <w:pPr>
      <w:pStyle w:val="Pieddepage"/>
      <w:tabs>
        <w:tab w:val="clear" w:pos="4536"/>
        <w:tab w:val="clear" w:pos="9072"/>
        <w:tab w:val="center" w:pos="4511"/>
        <w:tab w:val="left" w:pos="7110"/>
        <w:tab w:val="right" w:pos="10080"/>
      </w:tabs>
      <w:ind w:right="203"/>
      <w:rPr>
        <w:rFonts w:ascii="Arial" w:hAnsi="Arial" w:cs="Arial"/>
      </w:rPr>
    </w:pPr>
  </w:p>
  <w:p w:rsidR="00A659A1" w:rsidRDefault="00A659A1">
    <w:pPr>
      <w:pStyle w:val="Pieddepage"/>
      <w:tabs>
        <w:tab w:val="clear" w:pos="4536"/>
        <w:tab w:val="clear" w:pos="9072"/>
        <w:tab w:val="center" w:pos="4511"/>
        <w:tab w:val="left" w:pos="7110"/>
        <w:tab w:val="right" w:pos="10283"/>
      </w:tabs>
      <w:ind w:left="-1260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 w:rsidR="00A659A1" w:rsidRDefault="009758E5" w:rsidP="00B14453">
    <w:pPr>
      <w:pStyle w:val="Pieddepage"/>
      <w:tabs>
        <w:tab w:val="clear" w:pos="4536"/>
        <w:tab w:val="clear" w:pos="9072"/>
        <w:tab w:val="center" w:pos="4511"/>
        <w:tab w:val="left" w:pos="7110"/>
        <w:tab w:val="right" w:pos="10283"/>
      </w:tabs>
      <w:ind w:left="-1260"/>
      <w:rPr>
        <w:rFonts w:ascii="Arial" w:hAnsi="Arial" w:cs="Arial"/>
      </w:rPr>
    </w:pPr>
    <w:r>
      <w:rPr>
        <w:rFonts w:ascii="Arial" w:hAnsi="Arial" w:cs="Arial"/>
      </w:rPr>
      <w:t xml:space="preserve">                    M</w:t>
    </w:r>
    <w:r w:rsidR="002A37B6">
      <w:rPr>
        <w:rFonts w:ascii="Arial" w:hAnsi="Arial" w:cs="Arial"/>
      </w:rPr>
      <w:t xml:space="preserve">atériaux               </w:t>
    </w:r>
    <w:r w:rsidR="00CF55F0">
      <w:rPr>
        <w:rFonts w:ascii="Arial" w:hAnsi="Arial" w:cs="Arial"/>
      </w:rPr>
      <w:t xml:space="preserve">     </w:t>
    </w:r>
    <w:r w:rsidR="00B77616">
      <w:rPr>
        <w:rFonts w:ascii="Arial" w:hAnsi="Arial" w:cs="Arial"/>
      </w:rPr>
      <w:t xml:space="preserve">              </w:t>
    </w:r>
    <w:r w:rsidR="00C149C8">
      <w:rPr>
        <w:rFonts w:ascii="Arial" w:hAnsi="Arial" w:cs="Arial"/>
      </w:rPr>
      <w:t xml:space="preserve">   </w:t>
    </w:r>
    <w:r w:rsidR="00B77616">
      <w:rPr>
        <w:rFonts w:ascii="Arial" w:hAnsi="Arial" w:cs="Arial"/>
      </w:rPr>
      <w:t xml:space="preserve">    </w:t>
    </w:r>
    <w:r>
      <w:rPr>
        <w:rFonts w:ascii="Arial" w:hAnsi="Arial" w:cs="Arial"/>
      </w:rPr>
      <w:t xml:space="preserve">             </w:t>
    </w:r>
    <w:r w:rsidR="00544862">
      <w:rPr>
        <w:rFonts w:ascii="Arial" w:hAnsi="Arial" w:cs="Arial"/>
      </w:rPr>
      <w:t xml:space="preserve">      </w:t>
    </w:r>
    <w:r>
      <w:rPr>
        <w:rFonts w:ascii="Arial" w:hAnsi="Arial" w:cs="Arial"/>
      </w:rPr>
      <w:t xml:space="preserve"> Mai</w:t>
    </w:r>
    <w:r w:rsidR="00C149C8">
      <w:rPr>
        <w:rFonts w:ascii="Arial" w:hAnsi="Arial" w:cs="Arial"/>
      </w:rPr>
      <w:t xml:space="preserve"> 2014</w:t>
    </w:r>
    <w:r w:rsidR="00371E09">
      <w:rPr>
        <w:rFonts w:ascii="Arial" w:hAnsi="Arial" w:cs="Arial"/>
      </w:rPr>
      <w:t xml:space="preserve">                 </w:t>
    </w:r>
    <w:r w:rsidR="00B14453">
      <w:rPr>
        <w:rFonts w:ascii="Arial" w:hAnsi="Arial" w:cs="Arial"/>
      </w:rPr>
      <w:t xml:space="preserve">  </w:t>
    </w:r>
    <w:r w:rsidR="00CF55F0">
      <w:rPr>
        <w:rFonts w:ascii="Arial" w:hAnsi="Arial" w:cs="Arial"/>
      </w:rPr>
      <w:t xml:space="preserve">        </w:t>
    </w:r>
    <w:r w:rsidR="00B14453">
      <w:rPr>
        <w:rFonts w:ascii="Arial" w:hAnsi="Arial" w:cs="Arial"/>
      </w:rPr>
      <w:t xml:space="preserve">     </w:t>
    </w:r>
    <w:r w:rsidR="00CF55F0">
      <w:rPr>
        <w:rFonts w:ascii="Arial" w:hAnsi="Arial" w:cs="Arial"/>
      </w:rPr>
      <w:t xml:space="preserve">       </w:t>
    </w:r>
    <w:r w:rsidR="0058510C">
      <w:rPr>
        <w:rFonts w:ascii="Arial" w:hAnsi="Arial" w:cs="Arial"/>
      </w:rPr>
      <w:t xml:space="preserve">  </w:t>
    </w:r>
    <w:r w:rsidR="0041723D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="00544862">
      <w:rPr>
        <w:rFonts w:ascii="Arial" w:hAnsi="Arial" w:cs="Arial"/>
      </w:rPr>
      <w:t xml:space="preserve">   </w:t>
    </w:r>
    <w:r>
      <w:rPr>
        <w:rFonts w:ascii="Arial" w:hAnsi="Arial" w:cs="Arial"/>
      </w:rPr>
      <w:t xml:space="preserve"> </w:t>
    </w:r>
    <w:r w:rsidR="0041723D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</w:t>
    </w:r>
    <w:r w:rsidR="00B14453">
      <w:rPr>
        <w:rFonts w:ascii="Arial" w:hAnsi="Arial" w:cs="Arial"/>
      </w:rPr>
      <w:t>BRUNEL Isabelle</w:t>
    </w:r>
  </w:p>
  <w:p w:rsidR="00A659A1" w:rsidRDefault="00544862">
    <w:pPr>
      <w:pStyle w:val="Pieddepage"/>
      <w:tabs>
        <w:tab w:val="clear" w:pos="4536"/>
        <w:tab w:val="clear" w:pos="9072"/>
        <w:tab w:val="left" w:pos="7110"/>
      </w:tabs>
      <w:ind w:left="-1260"/>
      <w:rPr>
        <w:sz w:val="28"/>
      </w:rPr>
    </w:pPr>
    <w:r>
      <w:rPr>
        <w:rFonts w:ascii="Arial" w:hAnsi="Arial" w:cs="Arial"/>
      </w:rPr>
      <w:t xml:space="preserve">                    </w:t>
    </w:r>
    <w:r w:rsidR="00B9785F">
      <w:rPr>
        <w:rFonts w:ascii="Arial" w:hAnsi="Arial" w:cs="Arial"/>
      </w:rPr>
      <w:t>2</w:t>
    </w:r>
    <w:r w:rsidR="001265B9">
      <w:rPr>
        <w:rFonts w:ascii="Arial" w:hAnsi="Arial" w:cs="Arial"/>
      </w:rPr>
      <w:t>.2</w:t>
    </w:r>
    <w:proofErr w:type="gramStart"/>
    <w:r w:rsidR="001265B9">
      <w:rPr>
        <w:rFonts w:ascii="Arial" w:hAnsi="Arial" w:cs="Arial"/>
      </w:rPr>
      <w:t>.</w:t>
    </w:r>
    <w:r w:rsidR="009758E5">
      <w:rPr>
        <w:rFonts w:ascii="Arial" w:hAnsi="Arial" w:cs="Arial"/>
      </w:rPr>
      <w:t>Les</w:t>
    </w:r>
    <w:proofErr w:type="gramEnd"/>
    <w:r w:rsidR="009758E5">
      <w:rPr>
        <w:rFonts w:ascii="Arial" w:hAnsi="Arial" w:cs="Arial"/>
      </w:rPr>
      <w:t xml:space="preserve"> </w:t>
    </w:r>
    <w:proofErr w:type="spellStart"/>
    <w:r w:rsidR="009758E5">
      <w:rPr>
        <w:rFonts w:ascii="Arial" w:hAnsi="Arial" w:cs="Arial"/>
      </w:rPr>
      <w:t>métaux-</w:t>
    </w:r>
    <w:r w:rsidR="006571E1">
      <w:rPr>
        <w:rFonts w:ascii="Arial" w:hAnsi="Arial" w:cs="Arial"/>
      </w:rPr>
      <w:t>L’acier</w:t>
    </w:r>
    <w:proofErr w:type="spellEnd"/>
    <w:r w:rsidR="00253BA9">
      <w:rPr>
        <w:rFonts w:ascii="Arial" w:hAnsi="Arial" w:cs="Arial"/>
      </w:rPr>
      <w:t xml:space="preserve">               </w:t>
    </w:r>
    <w:r w:rsidR="00A659A1">
      <w:rPr>
        <w:rFonts w:ascii="Arial" w:hAnsi="Arial" w:cs="Arial"/>
      </w:rPr>
      <w:t xml:space="preserve">  </w:t>
    </w:r>
    <w:r w:rsidR="006571E1">
      <w:rPr>
        <w:rFonts w:ascii="Arial" w:hAnsi="Arial" w:cs="Arial"/>
      </w:rPr>
      <w:t xml:space="preserve">           </w:t>
    </w:r>
    <w:r w:rsidR="009758E5">
      <w:rPr>
        <w:rFonts w:ascii="Arial" w:hAnsi="Arial" w:cs="Arial"/>
      </w:rPr>
      <w:t xml:space="preserve">  </w:t>
    </w:r>
    <w:r>
      <w:rPr>
        <w:rFonts w:ascii="Arial" w:hAnsi="Arial" w:cs="Arial"/>
      </w:rPr>
      <w:t xml:space="preserve">      </w:t>
    </w:r>
    <w:r w:rsidR="00A659A1">
      <w:rPr>
        <w:rFonts w:ascii="Arial" w:hAnsi="Arial" w:cs="Arial"/>
      </w:rPr>
      <w:t xml:space="preserve"> Page </w:t>
    </w:r>
    <w:r w:rsidR="00C00B71">
      <w:rPr>
        <w:rFonts w:ascii="Arial" w:hAnsi="Arial" w:cs="Arial"/>
      </w:rPr>
      <w:fldChar w:fldCharType="begin"/>
    </w:r>
    <w:r w:rsidR="00A659A1">
      <w:rPr>
        <w:rFonts w:ascii="Arial" w:hAnsi="Arial" w:cs="Arial"/>
      </w:rPr>
      <w:instrText xml:space="preserve"> PAGE </w:instrText>
    </w:r>
    <w:r w:rsidR="00C00B71">
      <w:rPr>
        <w:rFonts w:ascii="Arial" w:hAnsi="Arial" w:cs="Arial"/>
      </w:rPr>
      <w:fldChar w:fldCharType="separate"/>
    </w:r>
    <w:r w:rsidR="00F058C3">
      <w:rPr>
        <w:rFonts w:ascii="Arial" w:hAnsi="Arial" w:cs="Arial"/>
        <w:noProof/>
      </w:rPr>
      <w:t>4</w:t>
    </w:r>
    <w:r w:rsidR="00C00B71">
      <w:rPr>
        <w:rFonts w:ascii="Arial" w:hAnsi="Arial" w:cs="Arial"/>
      </w:rPr>
      <w:fldChar w:fldCharType="end"/>
    </w:r>
    <w:r w:rsidR="00A659A1">
      <w:rPr>
        <w:rFonts w:ascii="Arial" w:hAnsi="Arial" w:cs="Arial"/>
      </w:rPr>
      <w:t xml:space="preserve"> sur </w:t>
    </w:r>
    <w:r w:rsidR="00C00B71">
      <w:rPr>
        <w:rFonts w:ascii="Arial" w:hAnsi="Arial" w:cs="Arial"/>
      </w:rPr>
      <w:fldChar w:fldCharType="begin"/>
    </w:r>
    <w:r w:rsidR="00A659A1">
      <w:rPr>
        <w:rFonts w:ascii="Arial" w:hAnsi="Arial" w:cs="Arial"/>
      </w:rPr>
      <w:instrText xml:space="preserve"> NUMPAGES </w:instrText>
    </w:r>
    <w:r w:rsidR="00C00B71">
      <w:rPr>
        <w:rFonts w:ascii="Arial" w:hAnsi="Arial" w:cs="Arial"/>
      </w:rPr>
      <w:fldChar w:fldCharType="separate"/>
    </w:r>
    <w:r w:rsidR="00F058C3">
      <w:rPr>
        <w:rFonts w:ascii="Arial" w:hAnsi="Arial" w:cs="Arial"/>
        <w:noProof/>
      </w:rPr>
      <w:t>4</w:t>
    </w:r>
    <w:r w:rsidR="00C00B71">
      <w:rPr>
        <w:rFonts w:ascii="Arial" w:hAnsi="Arial" w:cs="Arial"/>
      </w:rPr>
      <w:fldChar w:fldCharType="end"/>
    </w:r>
    <w:r w:rsidR="00A659A1">
      <w:rPr>
        <w:sz w:val="28"/>
      </w:rPr>
      <w:t xml:space="preserve">          </w:t>
    </w:r>
    <w:r w:rsidR="00371E09">
      <w:rPr>
        <w:sz w:val="28"/>
      </w:rPr>
      <w:t xml:space="preserve">                               </w:t>
    </w:r>
    <w:r>
      <w:rPr>
        <w:sz w:val="28"/>
      </w:rPr>
      <w:t xml:space="preserve">    </w:t>
    </w:r>
    <w:r w:rsidR="00B14453">
      <w:rPr>
        <w:rFonts w:ascii="Arial" w:hAnsi="Arial" w:cs="Arial"/>
      </w:rPr>
      <w:t>PAWLAK Philippe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C0F" w:rsidRDefault="00842C0F">
      <w:r>
        <w:separator/>
      </w:r>
    </w:p>
  </w:footnote>
  <w:footnote w:type="continuationSeparator" w:id="0">
    <w:p w:rsidR="00842C0F" w:rsidRDefault="00842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8C3" w:rsidRPr="00B807D6" w:rsidRDefault="00D512BA" w:rsidP="00F058C3">
    <w:pPr>
      <w:pStyle w:val="En-tte"/>
      <w:tabs>
        <w:tab w:val="left" w:pos="142"/>
      </w:tabs>
      <w:spacing w:before="120"/>
      <w:ind w:left="-142" w:right="38"/>
      <w:rPr>
        <w:rFonts w:ascii="Arial" w:hAnsi="Arial" w:cs="Arial"/>
        <w:b/>
        <w:sz w:val="44"/>
        <w:szCs w:val="44"/>
      </w:rPr>
    </w:pPr>
    <w:r>
      <w:tab/>
    </w:r>
    <w:r w:rsidR="00F058C3">
      <w:rPr>
        <w:rFonts w:ascii="Arial" w:hAnsi="Arial" w:cs="Arial"/>
        <w:b/>
        <w:sz w:val="44"/>
        <w:szCs w:val="44"/>
      </w:rPr>
      <w:t xml:space="preserve"> </w:t>
    </w:r>
    <w:r w:rsidR="00F058C3">
      <w:rPr>
        <w:noProof/>
      </w:rPr>
      <w:drawing>
        <wp:inline distT="0" distB="0" distL="0" distR="0">
          <wp:extent cx="1155065" cy="697865"/>
          <wp:effectExtent l="19050" t="0" r="6985" b="0"/>
          <wp:docPr id="1" name="Imag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065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058C3">
      <w:tab/>
      <w:t xml:space="preserve">          </w:t>
    </w:r>
    <w:r w:rsidR="00F058C3">
      <w:rPr>
        <w:rFonts w:ascii="Arial" w:hAnsi="Arial" w:cs="Arial"/>
        <w:sz w:val="36"/>
        <w:szCs w:val="36"/>
      </w:rPr>
      <w:t>Enseignement Technologique Transversal</w:t>
    </w:r>
    <w:r w:rsidR="00F058C3">
      <w:t xml:space="preserve">      </w:t>
    </w:r>
    <w:r w:rsidR="00F058C3">
      <w:rPr>
        <w:rFonts w:ascii="Arial" w:hAnsi="Arial" w:cs="Arial"/>
        <w:b/>
        <w:noProof/>
        <w:sz w:val="44"/>
        <w:szCs w:val="44"/>
      </w:rPr>
      <w:drawing>
        <wp:inline distT="0" distB="0" distL="0" distR="0">
          <wp:extent cx="914400" cy="673735"/>
          <wp:effectExtent l="19050" t="0" r="0" b="0"/>
          <wp:docPr id="2" name="Image 2" descr="Logo sti2d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ti2d (2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73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058C3">
      <w:t xml:space="preserve">                                                                                                                                                        </w:t>
    </w:r>
  </w:p>
  <w:p w:rsidR="008D4E47" w:rsidRPr="00755AAC" w:rsidRDefault="008D4E47" w:rsidP="008D4E47">
    <w:pPr>
      <w:pStyle w:val="En-tte"/>
      <w:rPr>
        <w:szCs w:val="44"/>
      </w:rPr>
    </w:pPr>
  </w:p>
  <w:p w:rsidR="00CF2748" w:rsidRDefault="00D512BA" w:rsidP="00B14453">
    <w:pPr>
      <w:pStyle w:val="En-tte"/>
      <w:tabs>
        <w:tab w:val="left" w:pos="142"/>
        <w:tab w:val="right" w:pos="11520"/>
      </w:tabs>
      <w:jc w:val="both"/>
    </w:pPr>
    <w:r>
      <w:tab/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075"/>
    <w:multiLevelType w:val="hybridMultilevel"/>
    <w:tmpl w:val="2C2C182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63A10"/>
    <w:multiLevelType w:val="hybridMultilevel"/>
    <w:tmpl w:val="706E9B84"/>
    <w:lvl w:ilvl="0" w:tplc="95CE7EDE">
      <w:start w:val="47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">
    <w:nsid w:val="02D6003B"/>
    <w:multiLevelType w:val="hybridMultilevel"/>
    <w:tmpl w:val="7AC2FFA6"/>
    <w:lvl w:ilvl="0" w:tplc="040C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5066B80"/>
    <w:multiLevelType w:val="hybridMultilevel"/>
    <w:tmpl w:val="77B024AC"/>
    <w:lvl w:ilvl="0" w:tplc="8BBAC5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61065"/>
    <w:multiLevelType w:val="hybridMultilevel"/>
    <w:tmpl w:val="3992DF08"/>
    <w:lvl w:ilvl="0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0883326F"/>
    <w:multiLevelType w:val="hybridMultilevel"/>
    <w:tmpl w:val="5734E85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F46211"/>
    <w:multiLevelType w:val="hybridMultilevel"/>
    <w:tmpl w:val="3500C39E"/>
    <w:lvl w:ilvl="0" w:tplc="32F662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CC06479"/>
    <w:multiLevelType w:val="multilevel"/>
    <w:tmpl w:val="860047A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8">
    <w:nsid w:val="0DE125D5"/>
    <w:multiLevelType w:val="hybridMultilevel"/>
    <w:tmpl w:val="9E1AEE48"/>
    <w:lvl w:ilvl="0" w:tplc="1BC81E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DE71BB8"/>
    <w:multiLevelType w:val="hybridMultilevel"/>
    <w:tmpl w:val="2B326B50"/>
    <w:lvl w:ilvl="0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19AF7F7B"/>
    <w:multiLevelType w:val="multilevel"/>
    <w:tmpl w:val="11B48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5D539C"/>
    <w:multiLevelType w:val="multilevel"/>
    <w:tmpl w:val="11B48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DE514B8"/>
    <w:multiLevelType w:val="hybridMultilevel"/>
    <w:tmpl w:val="EB32A2BE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CA48B6"/>
    <w:multiLevelType w:val="hybridMultilevel"/>
    <w:tmpl w:val="51D244C2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2ADA17C0"/>
    <w:multiLevelType w:val="hybridMultilevel"/>
    <w:tmpl w:val="A596DD64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E31D15"/>
    <w:multiLevelType w:val="hybridMultilevel"/>
    <w:tmpl w:val="03369278"/>
    <w:lvl w:ilvl="0" w:tplc="DDA6DD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2FE5203F"/>
    <w:multiLevelType w:val="multilevel"/>
    <w:tmpl w:val="860047A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7">
    <w:nsid w:val="302B160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1204F15"/>
    <w:multiLevelType w:val="hybridMultilevel"/>
    <w:tmpl w:val="A0BAA33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139260E"/>
    <w:multiLevelType w:val="hybridMultilevel"/>
    <w:tmpl w:val="2342F8FC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227355C"/>
    <w:multiLevelType w:val="hybridMultilevel"/>
    <w:tmpl w:val="6D165050"/>
    <w:lvl w:ilvl="0" w:tplc="8BBAC5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0715D3"/>
    <w:multiLevelType w:val="hybridMultilevel"/>
    <w:tmpl w:val="EDFEA84A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9B54DC"/>
    <w:multiLevelType w:val="hybridMultilevel"/>
    <w:tmpl w:val="7AF6CE3A"/>
    <w:lvl w:ilvl="0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39896E91"/>
    <w:multiLevelType w:val="hybridMultilevel"/>
    <w:tmpl w:val="1CE27A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111FBD"/>
    <w:multiLevelType w:val="multilevel"/>
    <w:tmpl w:val="10668D0E"/>
    <w:lvl w:ilvl="0">
      <w:start w:val="1"/>
      <w:numFmt w:val="none"/>
      <w:lvlText w:val="5."/>
      <w:lvlJc w:val="left"/>
      <w:pPr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CD04AA7"/>
    <w:multiLevelType w:val="multilevel"/>
    <w:tmpl w:val="11B48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F1832AF"/>
    <w:multiLevelType w:val="hybridMultilevel"/>
    <w:tmpl w:val="A0DC8BB2"/>
    <w:lvl w:ilvl="0" w:tplc="8BBAC5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8E661F"/>
    <w:multiLevelType w:val="hybridMultilevel"/>
    <w:tmpl w:val="18EC8A54"/>
    <w:lvl w:ilvl="0" w:tplc="8BBAC5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D26E11"/>
    <w:multiLevelType w:val="hybridMultilevel"/>
    <w:tmpl w:val="9C5AB182"/>
    <w:lvl w:ilvl="0" w:tplc="8BBAC520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1F93CA7"/>
    <w:multiLevelType w:val="hybridMultilevel"/>
    <w:tmpl w:val="3D6CEC16"/>
    <w:lvl w:ilvl="0" w:tplc="8BBAC5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243380"/>
    <w:multiLevelType w:val="hybridMultilevel"/>
    <w:tmpl w:val="E07ED9FE"/>
    <w:lvl w:ilvl="0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>
    <w:nsid w:val="45AE5C5C"/>
    <w:multiLevelType w:val="hybridMultilevel"/>
    <w:tmpl w:val="014C1D8C"/>
    <w:lvl w:ilvl="0" w:tplc="8BBAC5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734C44"/>
    <w:multiLevelType w:val="hybridMultilevel"/>
    <w:tmpl w:val="296EDA5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49F5088F"/>
    <w:multiLevelType w:val="hybridMultilevel"/>
    <w:tmpl w:val="189A12FE"/>
    <w:lvl w:ilvl="0" w:tplc="3C82C46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710CBF"/>
    <w:multiLevelType w:val="hybridMultilevel"/>
    <w:tmpl w:val="675494B8"/>
    <w:lvl w:ilvl="0" w:tplc="040C000B">
      <w:start w:val="1"/>
      <w:numFmt w:val="bullet"/>
      <w:lvlText w:val=""/>
      <w:lvlJc w:val="left"/>
      <w:pPr>
        <w:ind w:left="48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35">
    <w:nsid w:val="511E31BC"/>
    <w:multiLevelType w:val="hybridMultilevel"/>
    <w:tmpl w:val="55061D0A"/>
    <w:lvl w:ilvl="0" w:tplc="040C000B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36">
    <w:nsid w:val="516C600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1B30B9B"/>
    <w:multiLevelType w:val="hybridMultilevel"/>
    <w:tmpl w:val="CB202462"/>
    <w:lvl w:ilvl="0" w:tplc="8BBAC5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F84ACB"/>
    <w:multiLevelType w:val="hybridMultilevel"/>
    <w:tmpl w:val="2C1EE3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66578D"/>
    <w:multiLevelType w:val="hybridMultilevel"/>
    <w:tmpl w:val="F1D4E9D4"/>
    <w:lvl w:ilvl="0" w:tplc="8BBAC5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0222BC"/>
    <w:multiLevelType w:val="multilevel"/>
    <w:tmpl w:val="10668D0E"/>
    <w:lvl w:ilvl="0">
      <w:start w:val="1"/>
      <w:numFmt w:val="none"/>
      <w:lvlText w:val="5."/>
      <w:lvlJc w:val="left"/>
      <w:pPr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5CC95D75"/>
    <w:multiLevelType w:val="multilevel"/>
    <w:tmpl w:val="11B48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4D21AB8"/>
    <w:multiLevelType w:val="hybridMultilevel"/>
    <w:tmpl w:val="8F565C10"/>
    <w:lvl w:ilvl="0" w:tplc="3C82C46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A3514F"/>
    <w:multiLevelType w:val="hybridMultilevel"/>
    <w:tmpl w:val="0986AB46"/>
    <w:lvl w:ilvl="0" w:tplc="8BBAC5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5C7B44"/>
    <w:multiLevelType w:val="hybridMultilevel"/>
    <w:tmpl w:val="2162256A"/>
    <w:lvl w:ilvl="0" w:tplc="B4E6540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>
    <w:nsid w:val="6C111A58"/>
    <w:multiLevelType w:val="hybridMultilevel"/>
    <w:tmpl w:val="97726C26"/>
    <w:lvl w:ilvl="0" w:tplc="040C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6">
    <w:nsid w:val="6F321466"/>
    <w:multiLevelType w:val="hybridMultilevel"/>
    <w:tmpl w:val="5CC2DC3C"/>
    <w:lvl w:ilvl="0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7">
    <w:nsid w:val="6FA84479"/>
    <w:multiLevelType w:val="hybridMultilevel"/>
    <w:tmpl w:val="2ACE70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2D7E23"/>
    <w:multiLevelType w:val="hybridMultilevel"/>
    <w:tmpl w:val="BAD62CE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7B9A130A"/>
    <w:multiLevelType w:val="hybridMultilevel"/>
    <w:tmpl w:val="5AD2A202"/>
    <w:lvl w:ilvl="0" w:tplc="8BBAC520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16"/>
  </w:num>
  <w:num w:numId="6">
    <w:abstractNumId w:val="2"/>
  </w:num>
  <w:num w:numId="7">
    <w:abstractNumId w:val="34"/>
  </w:num>
  <w:num w:numId="8">
    <w:abstractNumId w:val="35"/>
  </w:num>
  <w:num w:numId="9">
    <w:abstractNumId w:val="45"/>
  </w:num>
  <w:num w:numId="10">
    <w:abstractNumId w:val="21"/>
  </w:num>
  <w:num w:numId="11">
    <w:abstractNumId w:val="25"/>
  </w:num>
  <w:num w:numId="12">
    <w:abstractNumId w:val="11"/>
  </w:num>
  <w:num w:numId="13">
    <w:abstractNumId w:val="41"/>
  </w:num>
  <w:num w:numId="14">
    <w:abstractNumId w:val="10"/>
  </w:num>
  <w:num w:numId="15">
    <w:abstractNumId w:val="40"/>
  </w:num>
  <w:num w:numId="16">
    <w:abstractNumId w:val="24"/>
  </w:num>
  <w:num w:numId="17">
    <w:abstractNumId w:val="17"/>
  </w:num>
  <w:num w:numId="18">
    <w:abstractNumId w:val="36"/>
  </w:num>
  <w:num w:numId="19">
    <w:abstractNumId w:val="12"/>
  </w:num>
  <w:num w:numId="20">
    <w:abstractNumId w:val="4"/>
  </w:num>
  <w:num w:numId="21">
    <w:abstractNumId w:val="46"/>
  </w:num>
  <w:num w:numId="22">
    <w:abstractNumId w:val="22"/>
  </w:num>
  <w:num w:numId="23">
    <w:abstractNumId w:val="30"/>
  </w:num>
  <w:num w:numId="24">
    <w:abstractNumId w:val="9"/>
  </w:num>
  <w:num w:numId="25">
    <w:abstractNumId w:val="19"/>
  </w:num>
  <w:num w:numId="26">
    <w:abstractNumId w:val="14"/>
  </w:num>
  <w:num w:numId="27">
    <w:abstractNumId w:val="47"/>
  </w:num>
  <w:num w:numId="28">
    <w:abstractNumId w:val="7"/>
  </w:num>
  <w:num w:numId="29">
    <w:abstractNumId w:val="18"/>
  </w:num>
  <w:num w:numId="30">
    <w:abstractNumId w:val="33"/>
  </w:num>
  <w:num w:numId="31">
    <w:abstractNumId w:val="42"/>
  </w:num>
  <w:num w:numId="32">
    <w:abstractNumId w:val="49"/>
  </w:num>
  <w:num w:numId="33">
    <w:abstractNumId w:val="28"/>
  </w:num>
  <w:num w:numId="34">
    <w:abstractNumId w:val="32"/>
  </w:num>
  <w:num w:numId="35">
    <w:abstractNumId w:val="13"/>
  </w:num>
  <w:num w:numId="36">
    <w:abstractNumId w:val="23"/>
  </w:num>
  <w:num w:numId="37">
    <w:abstractNumId w:val="26"/>
  </w:num>
  <w:num w:numId="38">
    <w:abstractNumId w:val="29"/>
  </w:num>
  <w:num w:numId="39">
    <w:abstractNumId w:val="37"/>
  </w:num>
  <w:num w:numId="40">
    <w:abstractNumId w:val="20"/>
  </w:num>
  <w:num w:numId="41">
    <w:abstractNumId w:val="31"/>
  </w:num>
  <w:num w:numId="42">
    <w:abstractNumId w:val="43"/>
  </w:num>
  <w:num w:numId="43">
    <w:abstractNumId w:val="39"/>
  </w:num>
  <w:num w:numId="44">
    <w:abstractNumId w:val="3"/>
  </w:num>
  <w:num w:numId="45">
    <w:abstractNumId w:val="27"/>
  </w:num>
  <w:num w:numId="46">
    <w:abstractNumId w:val="44"/>
  </w:num>
  <w:num w:numId="47">
    <w:abstractNumId w:val="48"/>
  </w:num>
  <w:num w:numId="48">
    <w:abstractNumId w:val="38"/>
  </w:num>
  <w:num w:numId="49">
    <w:abstractNumId w:val="8"/>
  </w:num>
  <w:num w:numId="5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915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F2748"/>
    <w:rsid w:val="00001547"/>
    <w:rsid w:val="0000179B"/>
    <w:rsid w:val="000074D9"/>
    <w:rsid w:val="000107F6"/>
    <w:rsid w:val="00016365"/>
    <w:rsid w:val="000250DA"/>
    <w:rsid w:val="0003097B"/>
    <w:rsid w:val="0003115A"/>
    <w:rsid w:val="000413C9"/>
    <w:rsid w:val="00041407"/>
    <w:rsid w:val="00053CD6"/>
    <w:rsid w:val="00057500"/>
    <w:rsid w:val="00064AD9"/>
    <w:rsid w:val="000842CC"/>
    <w:rsid w:val="00093810"/>
    <w:rsid w:val="000A0CCD"/>
    <w:rsid w:val="000A5CE8"/>
    <w:rsid w:val="000A6EFC"/>
    <w:rsid w:val="000B239E"/>
    <w:rsid w:val="000B6FDA"/>
    <w:rsid w:val="000C1649"/>
    <w:rsid w:val="000C4AC3"/>
    <w:rsid w:val="000C5E00"/>
    <w:rsid w:val="000D6ABA"/>
    <w:rsid w:val="000D773A"/>
    <w:rsid w:val="000E5A83"/>
    <w:rsid w:val="000F3559"/>
    <w:rsid w:val="00102C6D"/>
    <w:rsid w:val="001061F2"/>
    <w:rsid w:val="001131FC"/>
    <w:rsid w:val="00117F5B"/>
    <w:rsid w:val="001265B9"/>
    <w:rsid w:val="001403A4"/>
    <w:rsid w:val="00142F33"/>
    <w:rsid w:val="00163576"/>
    <w:rsid w:val="001635CF"/>
    <w:rsid w:val="0019287B"/>
    <w:rsid w:val="001932ED"/>
    <w:rsid w:val="001B11EB"/>
    <w:rsid w:val="001B36BD"/>
    <w:rsid w:val="001C60CE"/>
    <w:rsid w:val="001C6390"/>
    <w:rsid w:val="001D3E92"/>
    <w:rsid w:val="001E19AC"/>
    <w:rsid w:val="001E7A84"/>
    <w:rsid w:val="0020496E"/>
    <w:rsid w:val="0021370B"/>
    <w:rsid w:val="00225A06"/>
    <w:rsid w:val="00233368"/>
    <w:rsid w:val="002344E9"/>
    <w:rsid w:val="00235E78"/>
    <w:rsid w:val="002467F5"/>
    <w:rsid w:val="00246AA2"/>
    <w:rsid w:val="00246BFC"/>
    <w:rsid w:val="00247F4B"/>
    <w:rsid w:val="00252929"/>
    <w:rsid w:val="002529A4"/>
    <w:rsid w:val="00252BBF"/>
    <w:rsid w:val="00253BA9"/>
    <w:rsid w:val="002554C9"/>
    <w:rsid w:val="00256490"/>
    <w:rsid w:val="00265724"/>
    <w:rsid w:val="00283845"/>
    <w:rsid w:val="00295976"/>
    <w:rsid w:val="00297D2A"/>
    <w:rsid w:val="002A37B6"/>
    <w:rsid w:val="002B3B01"/>
    <w:rsid w:val="002B6AA8"/>
    <w:rsid w:val="002C0019"/>
    <w:rsid w:val="002C2313"/>
    <w:rsid w:val="002C70BD"/>
    <w:rsid w:val="002E66AE"/>
    <w:rsid w:val="002F472C"/>
    <w:rsid w:val="00302B92"/>
    <w:rsid w:val="00313179"/>
    <w:rsid w:val="00316168"/>
    <w:rsid w:val="003202F2"/>
    <w:rsid w:val="003222C3"/>
    <w:rsid w:val="00325220"/>
    <w:rsid w:val="00340D27"/>
    <w:rsid w:val="00351D9F"/>
    <w:rsid w:val="0035651B"/>
    <w:rsid w:val="0035742F"/>
    <w:rsid w:val="00371E09"/>
    <w:rsid w:val="003728A2"/>
    <w:rsid w:val="0037395B"/>
    <w:rsid w:val="00381942"/>
    <w:rsid w:val="00385661"/>
    <w:rsid w:val="003946D8"/>
    <w:rsid w:val="0039727B"/>
    <w:rsid w:val="003C39AF"/>
    <w:rsid w:val="003C3D82"/>
    <w:rsid w:val="003C49DB"/>
    <w:rsid w:val="003D6034"/>
    <w:rsid w:val="003E01A8"/>
    <w:rsid w:val="003E0486"/>
    <w:rsid w:val="003E51BE"/>
    <w:rsid w:val="003E7252"/>
    <w:rsid w:val="004114EF"/>
    <w:rsid w:val="00411801"/>
    <w:rsid w:val="0041723D"/>
    <w:rsid w:val="00432290"/>
    <w:rsid w:val="00442E92"/>
    <w:rsid w:val="00443153"/>
    <w:rsid w:val="004434A0"/>
    <w:rsid w:val="00444145"/>
    <w:rsid w:val="0045213B"/>
    <w:rsid w:val="004573E5"/>
    <w:rsid w:val="00471415"/>
    <w:rsid w:val="00483CA4"/>
    <w:rsid w:val="0048678F"/>
    <w:rsid w:val="00491D96"/>
    <w:rsid w:val="00491DCA"/>
    <w:rsid w:val="004955F0"/>
    <w:rsid w:val="00497E21"/>
    <w:rsid w:val="004B04A1"/>
    <w:rsid w:val="004B3AF3"/>
    <w:rsid w:val="004C23AD"/>
    <w:rsid w:val="004C6D86"/>
    <w:rsid w:val="004C7C9D"/>
    <w:rsid w:val="004D2B5B"/>
    <w:rsid w:val="004D5357"/>
    <w:rsid w:val="004E032E"/>
    <w:rsid w:val="004E09E2"/>
    <w:rsid w:val="004E403C"/>
    <w:rsid w:val="004F5B51"/>
    <w:rsid w:val="00503D52"/>
    <w:rsid w:val="00507131"/>
    <w:rsid w:val="00522669"/>
    <w:rsid w:val="00533385"/>
    <w:rsid w:val="00540378"/>
    <w:rsid w:val="00543831"/>
    <w:rsid w:val="00544862"/>
    <w:rsid w:val="00552921"/>
    <w:rsid w:val="00553178"/>
    <w:rsid w:val="00556CEE"/>
    <w:rsid w:val="005572E1"/>
    <w:rsid w:val="005576D2"/>
    <w:rsid w:val="00562773"/>
    <w:rsid w:val="005633D5"/>
    <w:rsid w:val="00563CF7"/>
    <w:rsid w:val="005722D2"/>
    <w:rsid w:val="00572BFA"/>
    <w:rsid w:val="005808F5"/>
    <w:rsid w:val="005832E6"/>
    <w:rsid w:val="0058510C"/>
    <w:rsid w:val="00587CB6"/>
    <w:rsid w:val="005959A9"/>
    <w:rsid w:val="00596711"/>
    <w:rsid w:val="00596D71"/>
    <w:rsid w:val="005B1937"/>
    <w:rsid w:val="005C173B"/>
    <w:rsid w:val="005C3F14"/>
    <w:rsid w:val="005E3E02"/>
    <w:rsid w:val="005F06CB"/>
    <w:rsid w:val="005F5A43"/>
    <w:rsid w:val="0060569D"/>
    <w:rsid w:val="006057C9"/>
    <w:rsid w:val="0061448B"/>
    <w:rsid w:val="00617989"/>
    <w:rsid w:val="006210B0"/>
    <w:rsid w:val="00630840"/>
    <w:rsid w:val="00646EFC"/>
    <w:rsid w:val="006522AE"/>
    <w:rsid w:val="00652D2A"/>
    <w:rsid w:val="00656324"/>
    <w:rsid w:val="006571E1"/>
    <w:rsid w:val="00660F30"/>
    <w:rsid w:val="00667BAB"/>
    <w:rsid w:val="00683AF9"/>
    <w:rsid w:val="006854EA"/>
    <w:rsid w:val="00696665"/>
    <w:rsid w:val="006A0FCE"/>
    <w:rsid w:val="006A190D"/>
    <w:rsid w:val="006B00FD"/>
    <w:rsid w:val="006B4379"/>
    <w:rsid w:val="006B517C"/>
    <w:rsid w:val="006B691D"/>
    <w:rsid w:val="006C6A44"/>
    <w:rsid w:val="006E798F"/>
    <w:rsid w:val="006F1107"/>
    <w:rsid w:val="006F110C"/>
    <w:rsid w:val="006F2C8D"/>
    <w:rsid w:val="006F402E"/>
    <w:rsid w:val="006F46C1"/>
    <w:rsid w:val="006F699B"/>
    <w:rsid w:val="0070138E"/>
    <w:rsid w:val="00702145"/>
    <w:rsid w:val="007026B9"/>
    <w:rsid w:val="007456F8"/>
    <w:rsid w:val="00751D8D"/>
    <w:rsid w:val="00761BB3"/>
    <w:rsid w:val="00786AFC"/>
    <w:rsid w:val="007931DA"/>
    <w:rsid w:val="007947F9"/>
    <w:rsid w:val="00796287"/>
    <w:rsid w:val="007965A0"/>
    <w:rsid w:val="007A43DB"/>
    <w:rsid w:val="007C2435"/>
    <w:rsid w:val="007D3130"/>
    <w:rsid w:val="007E5B4E"/>
    <w:rsid w:val="007E682F"/>
    <w:rsid w:val="007F4A73"/>
    <w:rsid w:val="007F574C"/>
    <w:rsid w:val="00803F74"/>
    <w:rsid w:val="00805407"/>
    <w:rsid w:val="00810870"/>
    <w:rsid w:val="00810A4B"/>
    <w:rsid w:val="00810F18"/>
    <w:rsid w:val="00812DFA"/>
    <w:rsid w:val="00813F42"/>
    <w:rsid w:val="00821A3D"/>
    <w:rsid w:val="00825A71"/>
    <w:rsid w:val="0083288F"/>
    <w:rsid w:val="008367B1"/>
    <w:rsid w:val="00840335"/>
    <w:rsid w:val="00842C0F"/>
    <w:rsid w:val="00852434"/>
    <w:rsid w:val="00856632"/>
    <w:rsid w:val="00867B59"/>
    <w:rsid w:val="00867EE5"/>
    <w:rsid w:val="008828A7"/>
    <w:rsid w:val="0089139F"/>
    <w:rsid w:val="008942AC"/>
    <w:rsid w:val="00896399"/>
    <w:rsid w:val="008A1B6C"/>
    <w:rsid w:val="008B00CE"/>
    <w:rsid w:val="008B1C94"/>
    <w:rsid w:val="008C37BD"/>
    <w:rsid w:val="008D4E47"/>
    <w:rsid w:val="008E289F"/>
    <w:rsid w:val="008E4168"/>
    <w:rsid w:val="008E6852"/>
    <w:rsid w:val="008F18C4"/>
    <w:rsid w:val="0090111A"/>
    <w:rsid w:val="00907AA2"/>
    <w:rsid w:val="0091069B"/>
    <w:rsid w:val="00912264"/>
    <w:rsid w:val="009200EA"/>
    <w:rsid w:val="0093177E"/>
    <w:rsid w:val="00931C02"/>
    <w:rsid w:val="00933183"/>
    <w:rsid w:val="00936F00"/>
    <w:rsid w:val="00956E7A"/>
    <w:rsid w:val="00961C17"/>
    <w:rsid w:val="00963721"/>
    <w:rsid w:val="009758E5"/>
    <w:rsid w:val="00984CCD"/>
    <w:rsid w:val="00986EF6"/>
    <w:rsid w:val="0099607C"/>
    <w:rsid w:val="009A4F27"/>
    <w:rsid w:val="009A5932"/>
    <w:rsid w:val="009A5C02"/>
    <w:rsid w:val="009B5F28"/>
    <w:rsid w:val="009C2933"/>
    <w:rsid w:val="009D37A1"/>
    <w:rsid w:val="009D40F7"/>
    <w:rsid w:val="009F61AE"/>
    <w:rsid w:val="009F67C9"/>
    <w:rsid w:val="00A02E7C"/>
    <w:rsid w:val="00A07518"/>
    <w:rsid w:val="00A0753A"/>
    <w:rsid w:val="00A12965"/>
    <w:rsid w:val="00A14AC4"/>
    <w:rsid w:val="00A15069"/>
    <w:rsid w:val="00A15AB8"/>
    <w:rsid w:val="00A20FDC"/>
    <w:rsid w:val="00A25401"/>
    <w:rsid w:val="00A2580D"/>
    <w:rsid w:val="00A26220"/>
    <w:rsid w:val="00A318CE"/>
    <w:rsid w:val="00A552FD"/>
    <w:rsid w:val="00A61B3A"/>
    <w:rsid w:val="00A659A1"/>
    <w:rsid w:val="00A7459F"/>
    <w:rsid w:val="00A82D47"/>
    <w:rsid w:val="00A904DB"/>
    <w:rsid w:val="00A93799"/>
    <w:rsid w:val="00A95809"/>
    <w:rsid w:val="00AA2698"/>
    <w:rsid w:val="00AA3BFC"/>
    <w:rsid w:val="00AC3253"/>
    <w:rsid w:val="00AD67E6"/>
    <w:rsid w:val="00AD7C13"/>
    <w:rsid w:val="00AF1B28"/>
    <w:rsid w:val="00B045AF"/>
    <w:rsid w:val="00B109A3"/>
    <w:rsid w:val="00B136FA"/>
    <w:rsid w:val="00B13A3E"/>
    <w:rsid w:val="00B14453"/>
    <w:rsid w:val="00B40B69"/>
    <w:rsid w:val="00B4244C"/>
    <w:rsid w:val="00B450D5"/>
    <w:rsid w:val="00B4641F"/>
    <w:rsid w:val="00B54B79"/>
    <w:rsid w:val="00B63514"/>
    <w:rsid w:val="00B65549"/>
    <w:rsid w:val="00B66FFC"/>
    <w:rsid w:val="00B7438C"/>
    <w:rsid w:val="00B77616"/>
    <w:rsid w:val="00B80509"/>
    <w:rsid w:val="00B80F03"/>
    <w:rsid w:val="00B9785F"/>
    <w:rsid w:val="00BC4E10"/>
    <w:rsid w:val="00BC66D4"/>
    <w:rsid w:val="00BC6B69"/>
    <w:rsid w:val="00BD1C32"/>
    <w:rsid w:val="00BE1972"/>
    <w:rsid w:val="00BE221C"/>
    <w:rsid w:val="00BE2CE6"/>
    <w:rsid w:val="00C00B71"/>
    <w:rsid w:val="00C05752"/>
    <w:rsid w:val="00C11B10"/>
    <w:rsid w:val="00C14079"/>
    <w:rsid w:val="00C149C8"/>
    <w:rsid w:val="00C14A00"/>
    <w:rsid w:val="00C24828"/>
    <w:rsid w:val="00C26213"/>
    <w:rsid w:val="00C329C0"/>
    <w:rsid w:val="00C3532B"/>
    <w:rsid w:val="00C354B2"/>
    <w:rsid w:val="00C36962"/>
    <w:rsid w:val="00C63723"/>
    <w:rsid w:val="00C65DE7"/>
    <w:rsid w:val="00C8743B"/>
    <w:rsid w:val="00C935DA"/>
    <w:rsid w:val="00CA4D4A"/>
    <w:rsid w:val="00CA7E58"/>
    <w:rsid w:val="00CD27B1"/>
    <w:rsid w:val="00CE2B20"/>
    <w:rsid w:val="00CE74C5"/>
    <w:rsid w:val="00CF2748"/>
    <w:rsid w:val="00CF55F0"/>
    <w:rsid w:val="00D10B6A"/>
    <w:rsid w:val="00D127A0"/>
    <w:rsid w:val="00D21810"/>
    <w:rsid w:val="00D25F5F"/>
    <w:rsid w:val="00D3408C"/>
    <w:rsid w:val="00D415F3"/>
    <w:rsid w:val="00D4229C"/>
    <w:rsid w:val="00D512BA"/>
    <w:rsid w:val="00D61053"/>
    <w:rsid w:val="00D63137"/>
    <w:rsid w:val="00D6320B"/>
    <w:rsid w:val="00D70CC2"/>
    <w:rsid w:val="00D71650"/>
    <w:rsid w:val="00D76A29"/>
    <w:rsid w:val="00D82C10"/>
    <w:rsid w:val="00D913B2"/>
    <w:rsid w:val="00D91EBB"/>
    <w:rsid w:val="00D94027"/>
    <w:rsid w:val="00D944B7"/>
    <w:rsid w:val="00D96C9C"/>
    <w:rsid w:val="00DA22B8"/>
    <w:rsid w:val="00DA41F7"/>
    <w:rsid w:val="00DB2350"/>
    <w:rsid w:val="00DC213C"/>
    <w:rsid w:val="00DC2BCB"/>
    <w:rsid w:val="00DD4251"/>
    <w:rsid w:val="00DD4C61"/>
    <w:rsid w:val="00DD521F"/>
    <w:rsid w:val="00DD5B1E"/>
    <w:rsid w:val="00DE74AE"/>
    <w:rsid w:val="00DF3F5D"/>
    <w:rsid w:val="00E0089D"/>
    <w:rsid w:val="00E26B14"/>
    <w:rsid w:val="00E40AD0"/>
    <w:rsid w:val="00E42F1B"/>
    <w:rsid w:val="00E51446"/>
    <w:rsid w:val="00E52D0A"/>
    <w:rsid w:val="00E54C2D"/>
    <w:rsid w:val="00E60265"/>
    <w:rsid w:val="00E62573"/>
    <w:rsid w:val="00E75418"/>
    <w:rsid w:val="00E80F04"/>
    <w:rsid w:val="00E915D9"/>
    <w:rsid w:val="00EA4CB0"/>
    <w:rsid w:val="00EB017D"/>
    <w:rsid w:val="00EB4C3E"/>
    <w:rsid w:val="00EB5BE0"/>
    <w:rsid w:val="00EB7264"/>
    <w:rsid w:val="00EB77B4"/>
    <w:rsid w:val="00EC455F"/>
    <w:rsid w:val="00ED2007"/>
    <w:rsid w:val="00ED5728"/>
    <w:rsid w:val="00EF3970"/>
    <w:rsid w:val="00EF5328"/>
    <w:rsid w:val="00F058C3"/>
    <w:rsid w:val="00F10609"/>
    <w:rsid w:val="00F32C0A"/>
    <w:rsid w:val="00F34412"/>
    <w:rsid w:val="00F34960"/>
    <w:rsid w:val="00F3518F"/>
    <w:rsid w:val="00F5663C"/>
    <w:rsid w:val="00F745A6"/>
    <w:rsid w:val="00F817CF"/>
    <w:rsid w:val="00F81ADD"/>
    <w:rsid w:val="00F85C9D"/>
    <w:rsid w:val="00F91603"/>
    <w:rsid w:val="00F94634"/>
    <w:rsid w:val="00F9615B"/>
    <w:rsid w:val="00F96E9F"/>
    <w:rsid w:val="00FA638B"/>
    <w:rsid w:val="00FB3A46"/>
    <w:rsid w:val="00FC31C0"/>
    <w:rsid w:val="00FC39BA"/>
    <w:rsid w:val="00FC6F43"/>
    <w:rsid w:val="00FC742E"/>
    <w:rsid w:val="00FD7D67"/>
    <w:rsid w:val="00FF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F27"/>
    <w:rPr>
      <w:sz w:val="24"/>
      <w:szCs w:val="24"/>
    </w:rPr>
  </w:style>
  <w:style w:type="paragraph" w:styleId="Titre1">
    <w:name w:val="heading 1"/>
    <w:basedOn w:val="Normal"/>
    <w:next w:val="Normal"/>
    <w:qFormat/>
    <w:rsid w:val="009A4F27"/>
    <w:pPr>
      <w:keepNext/>
      <w:ind w:left="-540" w:right="-468"/>
      <w:jc w:val="center"/>
      <w:outlineLvl w:val="0"/>
    </w:pPr>
    <w:rPr>
      <w:rFonts w:ascii="Arial" w:hAnsi="Arial" w:cs="Arial"/>
      <w:b/>
      <w:bCs/>
      <w:sz w:val="48"/>
    </w:rPr>
  </w:style>
  <w:style w:type="paragraph" w:styleId="Titre2">
    <w:name w:val="heading 2"/>
    <w:basedOn w:val="Normal"/>
    <w:next w:val="Normal"/>
    <w:qFormat/>
    <w:rsid w:val="009A4F27"/>
    <w:pPr>
      <w:keepNext/>
      <w:outlineLvl w:val="1"/>
    </w:pPr>
    <w:rPr>
      <w:rFonts w:ascii="Arial" w:hAnsi="Arial" w:cs="Arial"/>
      <w:b/>
      <w:bCs/>
      <w:sz w:val="40"/>
    </w:rPr>
  </w:style>
  <w:style w:type="paragraph" w:styleId="Titre3">
    <w:name w:val="heading 3"/>
    <w:basedOn w:val="Normal"/>
    <w:next w:val="Normal"/>
    <w:qFormat/>
    <w:rsid w:val="009A4F27"/>
    <w:pPr>
      <w:keepNext/>
      <w:jc w:val="center"/>
      <w:outlineLvl w:val="2"/>
    </w:pPr>
    <w:rPr>
      <w:rFonts w:ascii="Arial" w:hAnsi="Arial" w:cs="Arial"/>
      <w:b/>
      <w:bCs/>
      <w:color w:val="FF0000"/>
      <w:sz w:val="96"/>
    </w:rPr>
  </w:style>
  <w:style w:type="paragraph" w:styleId="Titre4">
    <w:name w:val="heading 4"/>
    <w:basedOn w:val="Normal"/>
    <w:next w:val="Normal"/>
    <w:qFormat/>
    <w:rsid w:val="009A4F27"/>
    <w:pPr>
      <w:keepNext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rsid w:val="009A4F27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rsid w:val="009A4F27"/>
    <w:pPr>
      <w:keepNext/>
      <w:ind w:right="-468"/>
      <w:jc w:val="both"/>
      <w:outlineLvl w:val="5"/>
    </w:pPr>
    <w:rPr>
      <w:rFonts w:ascii="Arial" w:hAnsi="Arial" w:cs="Arial"/>
      <w:b/>
      <w:bCs/>
      <w:lang w:val="en-GB"/>
    </w:rPr>
  </w:style>
  <w:style w:type="paragraph" w:styleId="Titre7">
    <w:name w:val="heading 7"/>
    <w:basedOn w:val="Normal"/>
    <w:next w:val="Normal"/>
    <w:qFormat/>
    <w:rsid w:val="009A4F27"/>
    <w:pPr>
      <w:keepNext/>
      <w:ind w:left="-1440" w:right="2674"/>
      <w:outlineLvl w:val="6"/>
    </w:pPr>
    <w:rPr>
      <w:rFonts w:ascii="Arial" w:hAnsi="Arial" w:cs="Arial"/>
      <w:b/>
      <w:bCs/>
    </w:rPr>
  </w:style>
  <w:style w:type="paragraph" w:styleId="Titre8">
    <w:name w:val="heading 8"/>
    <w:basedOn w:val="Normal"/>
    <w:next w:val="Normal"/>
    <w:qFormat/>
    <w:rsid w:val="009A4F27"/>
    <w:pPr>
      <w:keepNext/>
      <w:ind w:right="-468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rsid w:val="009A4F27"/>
    <w:pPr>
      <w:keepNext/>
      <w:ind w:right="-468"/>
      <w:jc w:val="center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A4F27"/>
    <w:pPr>
      <w:jc w:val="center"/>
    </w:pPr>
    <w:rPr>
      <w:rFonts w:ascii="Arial" w:hAnsi="Arial" w:cs="Arial"/>
      <w:b/>
      <w:bCs/>
      <w:sz w:val="52"/>
    </w:rPr>
  </w:style>
  <w:style w:type="paragraph" w:styleId="En-tte">
    <w:name w:val="header"/>
    <w:basedOn w:val="Normal"/>
    <w:link w:val="En-tteCar"/>
    <w:semiHidden/>
    <w:rsid w:val="009A4F2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9A4F2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9A4F27"/>
  </w:style>
  <w:style w:type="paragraph" w:styleId="Normalcentr">
    <w:name w:val="Block Text"/>
    <w:basedOn w:val="Normal"/>
    <w:semiHidden/>
    <w:rsid w:val="009A4F27"/>
    <w:pPr>
      <w:ind w:left="-180" w:right="-288"/>
      <w:jc w:val="both"/>
    </w:pPr>
  </w:style>
  <w:style w:type="paragraph" w:styleId="Corpsdetexte">
    <w:name w:val="Body Text"/>
    <w:basedOn w:val="Normal"/>
    <w:semiHidden/>
    <w:rsid w:val="009A4F27"/>
    <w:pPr>
      <w:jc w:val="center"/>
    </w:pPr>
  </w:style>
  <w:style w:type="paragraph" w:styleId="Corpsdetexte2">
    <w:name w:val="Body Text 2"/>
    <w:basedOn w:val="Normal"/>
    <w:semiHidden/>
    <w:rsid w:val="009A4F27"/>
    <w:pPr>
      <w:jc w:val="center"/>
    </w:pPr>
    <w:rPr>
      <w:b/>
      <w:bCs/>
      <w:color w:val="FF0000"/>
      <w:sz w:val="20"/>
    </w:rPr>
  </w:style>
  <w:style w:type="paragraph" w:styleId="Corpsdetexte3">
    <w:name w:val="Body Text 3"/>
    <w:basedOn w:val="Normal"/>
    <w:semiHidden/>
    <w:rsid w:val="009A4F27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1E7A84"/>
    <w:pPr>
      <w:ind w:left="708"/>
    </w:pPr>
  </w:style>
  <w:style w:type="character" w:styleId="Lienhypertexte">
    <w:name w:val="Hyperlink"/>
    <w:basedOn w:val="Policepardfaut"/>
    <w:uiPriority w:val="99"/>
    <w:unhideWhenUsed/>
    <w:rsid w:val="00EB77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6399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596D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5808F5"/>
    <w:rPr>
      <w:color w:val="800080"/>
      <w:u w:val="single"/>
    </w:rPr>
  </w:style>
  <w:style w:type="character" w:customStyle="1" w:styleId="apple-converted-space">
    <w:name w:val="apple-converted-space"/>
    <w:basedOn w:val="Policepardfaut"/>
    <w:rsid w:val="005576D2"/>
  </w:style>
  <w:style w:type="paragraph" w:styleId="Textedebulles">
    <w:name w:val="Balloon Text"/>
    <w:basedOn w:val="Normal"/>
    <w:link w:val="TextedebullesCar"/>
    <w:uiPriority w:val="99"/>
    <w:semiHidden/>
    <w:unhideWhenUsed/>
    <w:rsid w:val="00DC2B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BCB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semiHidden/>
    <w:rsid w:val="008D4E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7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5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9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5668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68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4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549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12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8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6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06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75810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74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28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8569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173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7832647462277093"/>
          <c:y val="0.10837438423645322"/>
          <c:w val="0.57064471879286693"/>
          <c:h val="0.8128078817733990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Consommation acier</c:v>
                </c:pt>
              </c:strCache>
            </c:strRef>
          </c:tx>
          <c:explosion val="28"/>
          <c:dLbls>
            <c:dLbl>
              <c:idx val="0"/>
              <c:layout>
                <c:manualLayout>
                  <c:x val="-4.5271186177220687E-2"/>
                  <c:y val="-0.18038031675406541"/>
                </c:manualLayout>
              </c:layout>
              <c:dLblPos val="bestFit"/>
              <c:showCatName val="1"/>
              <c:showPercent val="1"/>
              <c:separator> </c:separator>
            </c:dLbl>
            <c:dLbl>
              <c:idx val="1"/>
              <c:layout>
                <c:manualLayout>
                  <c:x val="0.17142656167978987"/>
                  <c:y val="0"/>
                </c:manualLayout>
              </c:layout>
              <c:dLblPos val="bestFit"/>
              <c:showCatName val="1"/>
              <c:showPercent val="1"/>
              <c:separator> </c:separator>
            </c:dLbl>
            <c:dLbl>
              <c:idx val="2"/>
              <c:layout>
                <c:manualLayout>
                  <c:x val="1.6762414698162899E-2"/>
                  <c:y val="5.5197132616487482E-2"/>
                </c:manualLayout>
              </c:layout>
              <c:dLblPos val="bestFit"/>
              <c:showCatName val="1"/>
              <c:showPercent val="1"/>
              <c:separator> </c:separator>
            </c:dLbl>
            <c:dLbl>
              <c:idx val="3"/>
              <c:layout>
                <c:manualLayout>
                  <c:x val="-2.5332283464567052E-2"/>
                  <c:y val="-5.1928992746874398E-4"/>
                </c:manualLayout>
              </c:layout>
              <c:dLblPos val="bestFit"/>
              <c:showCatName val="1"/>
              <c:showPercent val="1"/>
              <c:separator> </c:separator>
            </c:dLbl>
            <c:dLbl>
              <c:idx val="4"/>
              <c:layout>
                <c:manualLayout>
                  <c:x val="1.1529658792650981E-2"/>
                  <c:y val="3.3154968532159289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fr-FR"/>
                      <a:t>Reste de l'Asie 15%</a:t>
                    </a:r>
                  </a:p>
                </c:rich>
              </c:tx>
              <c:spPr/>
              <c:dLblPos val="bestFit"/>
            </c:dLbl>
            <c:dLbl>
              <c:idx val="5"/>
              <c:layout>
                <c:manualLayout>
                  <c:x val="5.059317585301884E-3"/>
                  <c:y val="-7.4715660542432852E-2"/>
                </c:manualLayout>
              </c:layout>
              <c:dLblPos val="bestFit"/>
              <c:showCatName val="1"/>
              <c:showPercent val="1"/>
              <c:separator> </c:separator>
            </c:dLbl>
            <c:numFmt formatCode="0%" sourceLinked="0"/>
            <c:showCatName val="1"/>
            <c:showPercent val="1"/>
            <c:separator> </c:separator>
          </c:dLbls>
          <c:cat>
            <c:strRef>
              <c:f>Sheet1!$B$1:$H$1</c:f>
              <c:strCache>
                <c:ptCount val="7"/>
                <c:pt idx="0">
                  <c:v>Chine</c:v>
                </c:pt>
                <c:pt idx="1">
                  <c:v>Union Européenne</c:v>
                </c:pt>
                <c:pt idx="2">
                  <c:v>Amérique du Nord</c:v>
                </c:pt>
                <c:pt idx="3">
                  <c:v>Japon</c:v>
                </c:pt>
                <c:pt idx="4">
                  <c:v>Reste de l'asie</c:v>
                </c:pt>
                <c:pt idx="5">
                  <c:v>CEI</c:v>
                </c:pt>
                <c:pt idx="6">
                  <c:v>Autres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45.7</c:v>
                </c:pt>
                <c:pt idx="1">
                  <c:v>9.9</c:v>
                </c:pt>
                <c:pt idx="2">
                  <c:v>7.8</c:v>
                </c:pt>
                <c:pt idx="3">
                  <c:v>4.5</c:v>
                </c:pt>
                <c:pt idx="4">
                  <c:v>14.9</c:v>
                </c:pt>
                <c:pt idx="5">
                  <c:v>4</c:v>
                </c:pt>
                <c:pt idx="6">
                  <c:v>11.7</c:v>
                </c:pt>
              </c:numCache>
            </c:numRef>
          </c:val>
        </c:ser>
        <c:dLbls>
          <c:showCatName val="1"/>
          <c:showPercent val="1"/>
          <c:separator> </c:separator>
        </c:dLbls>
      </c:pie3DChart>
    </c:plotArea>
    <c:plotVisOnly val="1"/>
    <c:dispBlanksAs val="zero"/>
  </c:chart>
  <c:spPr>
    <a:noFill/>
    <a:ln w="0"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7857142857143002"/>
          <c:y val="0.11330049261083684"/>
          <c:w val="0.57005494505494458"/>
          <c:h val="0.8078817733990187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Production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5.035215278941186E-2"/>
                  <c:y val="-0.2481227889992012"/>
                </c:manualLayout>
              </c:layout>
              <c:dLblPos val="bestFit"/>
              <c:showCatName val="1"/>
              <c:showPercent val="1"/>
              <c:separator> </c:separator>
            </c:dLbl>
            <c:dLbl>
              <c:idx val="1"/>
              <c:layout>
                <c:manualLayout>
                  <c:x val="0.19943374099514191"/>
                  <c:y val="0"/>
                </c:manualLayout>
              </c:layout>
              <c:dLblPos val="bestFit"/>
              <c:showCatName val="1"/>
              <c:showPercent val="1"/>
              <c:separator> </c:separator>
            </c:dLbl>
            <c:dLbl>
              <c:idx val="2"/>
              <c:layout>
                <c:manualLayout>
                  <c:x val="3.7725805550902068E-2"/>
                  <c:y val="9.2895697820381151E-2"/>
                </c:manualLayout>
              </c:layout>
              <c:dLblPos val="bestFit"/>
              <c:showCatName val="1"/>
              <c:showPercent val="1"/>
              <c:separator> </c:separator>
            </c:dLbl>
            <c:dLbl>
              <c:idx val="3"/>
              <c:layout>
                <c:manualLayout>
                  <c:x val="-1.0984754565253827E-2"/>
                  <c:y val="-1.4298756133744076E-2"/>
                </c:manualLayout>
              </c:layout>
              <c:dLblPos val="bestFit"/>
              <c:showCatName val="1"/>
              <c:showPercent val="1"/>
              <c:separator> </c:separator>
            </c:dLbl>
            <c:dLbl>
              <c:idx val="4"/>
              <c:layout>
                <c:manualLayout>
                  <c:x val="7.4093929748144044E-4"/>
                  <c:y val="-1.246833276275248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fr-FR"/>
                      <a:t>Reste de l'Asie</a:t>
                    </a:r>
                  </a:p>
                  <a:p>
                    <a:pPr>
                      <a:defRPr/>
                    </a:pPr>
                    <a:r>
                      <a:rPr lang="fr-FR"/>
                      <a:t>12,2%</a:t>
                    </a:r>
                  </a:p>
                </c:rich>
              </c:tx>
              <c:spPr/>
              <c:dLblPos val="bestFit"/>
            </c:dLbl>
            <c:dLbl>
              <c:idx val="5"/>
              <c:layout>
                <c:manualLayout>
                  <c:x val="2.9760428882560021E-3"/>
                  <c:y val="-0.11548042907680017"/>
                </c:manualLayout>
              </c:layout>
              <c:dLblPos val="bestFit"/>
              <c:showCatName val="1"/>
              <c:showPercent val="1"/>
              <c:separator> </c:separator>
            </c:dLbl>
            <c:dLbl>
              <c:idx val="6"/>
              <c:layout>
                <c:manualLayout>
                  <c:x val="4.9831015803875583E-2"/>
                  <c:y val="-9.1275248202670328E-2"/>
                </c:manualLayout>
              </c:layout>
              <c:showCatName val="1"/>
              <c:showPercent val="1"/>
              <c:separator> </c:separator>
            </c:dLbl>
            <c:numFmt formatCode="0%" sourceLinked="0"/>
            <c:showCatName val="1"/>
            <c:showPercent val="1"/>
            <c:separator> </c:separator>
          </c:dLbls>
          <c:cat>
            <c:strRef>
              <c:f>Sheet1!$B$1:$H$1</c:f>
              <c:strCache>
                <c:ptCount val="7"/>
                <c:pt idx="0">
                  <c:v>Chine</c:v>
                </c:pt>
                <c:pt idx="1">
                  <c:v>Union Européenne</c:v>
                </c:pt>
                <c:pt idx="2">
                  <c:v>Amérique du Nord</c:v>
                </c:pt>
                <c:pt idx="3">
                  <c:v>Japon</c:v>
                </c:pt>
                <c:pt idx="4">
                  <c:v>Autres pays d'Asie</c:v>
                </c:pt>
                <c:pt idx="5">
                  <c:v>CEI</c:v>
                </c:pt>
                <c:pt idx="6">
                  <c:v>Autres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46.3</c:v>
                </c:pt>
                <c:pt idx="1">
                  <c:v>10.9</c:v>
                </c:pt>
                <c:pt idx="2">
                  <c:v>7.8</c:v>
                </c:pt>
                <c:pt idx="3">
                  <c:v>6.9</c:v>
                </c:pt>
                <c:pt idx="4">
                  <c:v>12.2</c:v>
                </c:pt>
                <c:pt idx="5">
                  <c:v>7.2</c:v>
                </c:pt>
                <c:pt idx="6">
                  <c:v>8.7000000000000011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25"/>
          <c:dLbls>
            <c:numFmt formatCode="0%" sourceLinked="0"/>
            <c:showCatName val="1"/>
            <c:showPercent val="1"/>
            <c:separator> </c:separator>
          </c:dLbls>
          <c:cat>
            <c:strRef>
              <c:f>Sheet1!$B$1:$H$1</c:f>
              <c:strCache>
                <c:ptCount val="7"/>
                <c:pt idx="0">
                  <c:v>Chine</c:v>
                </c:pt>
                <c:pt idx="1">
                  <c:v>Union Européenne</c:v>
                </c:pt>
                <c:pt idx="2">
                  <c:v>Amérique du Nord</c:v>
                </c:pt>
                <c:pt idx="3">
                  <c:v>Japon</c:v>
                </c:pt>
                <c:pt idx="4">
                  <c:v>Autres pays d'Asie</c:v>
                </c:pt>
                <c:pt idx="5">
                  <c:v>CEI</c:v>
                </c:pt>
                <c:pt idx="6">
                  <c:v>Autres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</c:ser>
        <c:dLbls>
          <c:showCatName val="1"/>
          <c:showPercent val="1"/>
          <c:separator> </c:separator>
        </c:dLbls>
      </c:pie3DChart>
    </c:plotArea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lineChart>
        <c:grouping val="standard"/>
        <c:ser>
          <c:idx val="0"/>
          <c:order val="0"/>
          <c:tx>
            <c:strRef>
              <c:f>Feuil1!$A$2</c:f>
              <c:strCache>
                <c:ptCount val="1"/>
                <c:pt idx="0">
                  <c:v>Minerai de fer brésilien</c:v>
                </c:pt>
              </c:strCache>
            </c:strRef>
          </c:tx>
          <c:marker>
            <c:symbol val="none"/>
          </c:marker>
          <c:cat>
            <c:strRef>
              <c:f>Feuil1!$B$1:$N$1</c:f>
              <c:strCache>
                <c:ptCount val="13"/>
                <c:pt idx="0">
                  <c:v>janv-02</c:v>
                </c:pt>
                <c:pt idx="1">
                  <c:v>janv-03</c:v>
                </c:pt>
                <c:pt idx="2">
                  <c:v>janv-04</c:v>
                </c:pt>
                <c:pt idx="3">
                  <c:v>janv-05</c:v>
                </c:pt>
                <c:pt idx="4">
                  <c:v>janv-06</c:v>
                </c:pt>
                <c:pt idx="5">
                  <c:v>janv-07</c:v>
                </c:pt>
                <c:pt idx="6">
                  <c:v>janv-08</c:v>
                </c:pt>
                <c:pt idx="7">
                  <c:v>janv-09</c:v>
                </c:pt>
                <c:pt idx="8">
                  <c:v>janv-10</c:v>
                </c:pt>
                <c:pt idx="9">
                  <c:v>janv-11</c:v>
                </c:pt>
                <c:pt idx="10">
                  <c:v>janv-12</c:v>
                </c:pt>
                <c:pt idx="11">
                  <c:v>janv-13</c:v>
                </c:pt>
                <c:pt idx="12">
                  <c:v>janv-14</c:v>
                </c:pt>
              </c:strCache>
            </c:strRef>
          </c:cat>
          <c:val>
            <c:numRef>
              <c:f>Feuil1!$B$2:$N$2</c:f>
              <c:numCache>
                <c:formatCode>General</c:formatCode>
                <c:ptCount val="13"/>
                <c:pt idx="0">
                  <c:v>12.7</c:v>
                </c:pt>
                <c:pt idx="1">
                  <c:v>13.8</c:v>
                </c:pt>
                <c:pt idx="2">
                  <c:v>16.399999999999999</c:v>
                </c:pt>
                <c:pt idx="3">
                  <c:v>28.1</c:v>
                </c:pt>
                <c:pt idx="4">
                  <c:v>33.5</c:v>
                </c:pt>
                <c:pt idx="5">
                  <c:v>36.6</c:v>
                </c:pt>
                <c:pt idx="6">
                  <c:v>61</c:v>
                </c:pt>
                <c:pt idx="7">
                  <c:v>72.5</c:v>
                </c:pt>
                <c:pt idx="8">
                  <c:v>126</c:v>
                </c:pt>
                <c:pt idx="9">
                  <c:v>179.6</c:v>
                </c:pt>
                <c:pt idx="10">
                  <c:v>140</c:v>
                </c:pt>
                <c:pt idx="11">
                  <c:v>150</c:v>
                </c:pt>
                <c:pt idx="12">
                  <c:v>128</c:v>
                </c:pt>
              </c:numCache>
            </c:numRef>
          </c:val>
        </c:ser>
        <c:ser>
          <c:idx val="1"/>
          <c:order val="1"/>
          <c:tx>
            <c:strRef>
              <c:f>Feuil1!$A$3</c:f>
              <c:strCache>
                <c:ptCount val="1"/>
              </c:strCache>
            </c:strRef>
          </c:tx>
          <c:marker>
            <c:symbol val="none"/>
          </c:marker>
          <c:cat>
            <c:strRef>
              <c:f>Feuil1!$B$1:$N$1</c:f>
              <c:strCache>
                <c:ptCount val="13"/>
                <c:pt idx="0">
                  <c:v>janv-02</c:v>
                </c:pt>
                <c:pt idx="1">
                  <c:v>janv-03</c:v>
                </c:pt>
                <c:pt idx="2">
                  <c:v>janv-04</c:v>
                </c:pt>
                <c:pt idx="3">
                  <c:v>janv-05</c:v>
                </c:pt>
                <c:pt idx="4">
                  <c:v>janv-06</c:v>
                </c:pt>
                <c:pt idx="5">
                  <c:v>janv-07</c:v>
                </c:pt>
                <c:pt idx="6">
                  <c:v>janv-08</c:v>
                </c:pt>
                <c:pt idx="7">
                  <c:v>janv-09</c:v>
                </c:pt>
                <c:pt idx="8">
                  <c:v>janv-10</c:v>
                </c:pt>
                <c:pt idx="9">
                  <c:v>janv-11</c:v>
                </c:pt>
                <c:pt idx="10">
                  <c:v>janv-12</c:v>
                </c:pt>
                <c:pt idx="11">
                  <c:v>janv-13</c:v>
                </c:pt>
                <c:pt idx="12">
                  <c:v>janv-14</c:v>
                </c:pt>
              </c:strCache>
            </c:strRef>
          </c:cat>
          <c:val>
            <c:numRef>
              <c:f>Feuil1!$B$3:$N$3</c:f>
              <c:numCache>
                <c:formatCode>General</c:formatCode>
                <c:ptCount val="13"/>
              </c:numCache>
            </c:numRef>
          </c:val>
        </c:ser>
        <c:marker val="1"/>
        <c:axId val="246596352"/>
        <c:axId val="246597888"/>
      </c:lineChart>
      <c:catAx>
        <c:axId val="246596352"/>
        <c:scaling>
          <c:orientation val="minMax"/>
        </c:scaling>
        <c:axPos val="b"/>
        <c:tickLblPos val="nextTo"/>
        <c:crossAx val="246597888"/>
        <c:crosses val="autoZero"/>
        <c:auto val="1"/>
        <c:lblAlgn val="ctr"/>
        <c:lblOffset val="100"/>
      </c:catAx>
      <c:valAx>
        <c:axId val="246597888"/>
        <c:scaling>
          <c:orientation val="minMax"/>
        </c:scaling>
        <c:axPos val="l"/>
        <c:majorGridlines/>
        <c:numFmt formatCode="General" sourceLinked="1"/>
        <c:tickLblPos val="nextTo"/>
        <c:crossAx val="246596352"/>
        <c:crosses val="autoZero"/>
        <c:crossBetween val="between"/>
      </c:valAx>
    </c:plotArea>
    <c:legend>
      <c:legendPos val="r"/>
      <c:legendEntry>
        <c:idx val="1"/>
        <c:delete val="1"/>
      </c:legendEntry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lineChart>
        <c:grouping val="standard"/>
        <c:ser>
          <c:idx val="0"/>
          <c:order val="0"/>
          <c:tx>
            <c:strRef>
              <c:f>Feuil1!$A$2</c:f>
              <c:strCache>
                <c:ptCount val="1"/>
                <c:pt idx="0">
                  <c:v>Acier allié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Feuil1!$B$1:$N$1</c:f>
              <c:strCache>
                <c:ptCount val="13"/>
                <c:pt idx="0">
                  <c:v>janv-02</c:v>
                </c:pt>
                <c:pt idx="1">
                  <c:v>janv-03</c:v>
                </c:pt>
                <c:pt idx="2">
                  <c:v>janv-04</c:v>
                </c:pt>
                <c:pt idx="3">
                  <c:v>janv-05</c:v>
                </c:pt>
                <c:pt idx="4">
                  <c:v>janv-06</c:v>
                </c:pt>
                <c:pt idx="5">
                  <c:v>janv-07</c:v>
                </c:pt>
                <c:pt idx="6">
                  <c:v>janv-08</c:v>
                </c:pt>
                <c:pt idx="7">
                  <c:v>janv-09</c:v>
                </c:pt>
                <c:pt idx="8">
                  <c:v>janv-10</c:v>
                </c:pt>
                <c:pt idx="9">
                  <c:v>janv-11</c:v>
                </c:pt>
                <c:pt idx="10">
                  <c:v>janv-12</c:v>
                </c:pt>
                <c:pt idx="11">
                  <c:v>janv-13</c:v>
                </c:pt>
                <c:pt idx="12">
                  <c:v>janv-14</c:v>
                </c:pt>
              </c:strCache>
            </c:strRef>
          </c:cat>
          <c:val>
            <c:numRef>
              <c:f>Feuil1!$B$2:$N$2</c:f>
              <c:numCache>
                <c:formatCode>General</c:formatCode>
                <c:ptCount val="13"/>
                <c:pt idx="0">
                  <c:v>52.4</c:v>
                </c:pt>
                <c:pt idx="1">
                  <c:v>58.3</c:v>
                </c:pt>
                <c:pt idx="2">
                  <c:v>65.099999999999994</c:v>
                </c:pt>
                <c:pt idx="3">
                  <c:v>80.8</c:v>
                </c:pt>
                <c:pt idx="4">
                  <c:v>83.5</c:v>
                </c:pt>
                <c:pt idx="5">
                  <c:v>105.2</c:v>
                </c:pt>
                <c:pt idx="6">
                  <c:v>105.5</c:v>
                </c:pt>
                <c:pt idx="7">
                  <c:v>100.9</c:v>
                </c:pt>
                <c:pt idx="8">
                  <c:v>89.9</c:v>
                </c:pt>
                <c:pt idx="9">
                  <c:v>105.9</c:v>
                </c:pt>
                <c:pt idx="10">
                  <c:v>104.8</c:v>
                </c:pt>
                <c:pt idx="11">
                  <c:v>100.9</c:v>
                </c:pt>
                <c:pt idx="12">
                  <c:v>100.2</c:v>
                </c:pt>
              </c:numCache>
            </c:numRef>
          </c:val>
        </c:ser>
        <c:ser>
          <c:idx val="1"/>
          <c:order val="1"/>
          <c:tx>
            <c:strRef>
              <c:f>Feuil1!$A$3</c:f>
              <c:strCache>
                <c:ptCount val="1"/>
              </c:strCache>
            </c:strRef>
          </c:tx>
          <c:marker>
            <c:symbol val="none"/>
          </c:marker>
          <c:cat>
            <c:strRef>
              <c:f>Feuil1!$B$1:$N$1</c:f>
              <c:strCache>
                <c:ptCount val="13"/>
                <c:pt idx="0">
                  <c:v>janv-02</c:v>
                </c:pt>
                <c:pt idx="1">
                  <c:v>janv-03</c:v>
                </c:pt>
                <c:pt idx="2">
                  <c:v>janv-04</c:v>
                </c:pt>
                <c:pt idx="3">
                  <c:v>janv-05</c:v>
                </c:pt>
                <c:pt idx="4">
                  <c:v>janv-06</c:v>
                </c:pt>
                <c:pt idx="5">
                  <c:v>janv-07</c:v>
                </c:pt>
                <c:pt idx="6">
                  <c:v>janv-08</c:v>
                </c:pt>
                <c:pt idx="7">
                  <c:v>janv-09</c:v>
                </c:pt>
                <c:pt idx="8">
                  <c:v>janv-10</c:v>
                </c:pt>
                <c:pt idx="9">
                  <c:v>janv-11</c:v>
                </c:pt>
                <c:pt idx="10">
                  <c:v>janv-12</c:v>
                </c:pt>
                <c:pt idx="11">
                  <c:v>janv-13</c:v>
                </c:pt>
                <c:pt idx="12">
                  <c:v>janv-14</c:v>
                </c:pt>
              </c:strCache>
            </c:strRef>
          </c:cat>
          <c:val>
            <c:numRef>
              <c:f>Feuil1!$B$3:$N$3</c:f>
              <c:numCache>
                <c:formatCode>General</c:formatCode>
                <c:ptCount val="13"/>
              </c:numCache>
            </c:numRef>
          </c:val>
        </c:ser>
        <c:marker val="1"/>
        <c:axId val="239241856"/>
        <c:axId val="239243648"/>
      </c:lineChart>
      <c:catAx>
        <c:axId val="239241856"/>
        <c:scaling>
          <c:orientation val="minMax"/>
        </c:scaling>
        <c:axPos val="b"/>
        <c:tickLblPos val="nextTo"/>
        <c:crossAx val="239243648"/>
        <c:crosses val="autoZero"/>
        <c:auto val="1"/>
        <c:lblAlgn val="ctr"/>
        <c:lblOffset val="100"/>
      </c:catAx>
      <c:valAx>
        <c:axId val="239243648"/>
        <c:scaling>
          <c:orientation val="minMax"/>
        </c:scaling>
        <c:axPos val="l"/>
        <c:majorGridlines/>
        <c:numFmt formatCode="General" sourceLinked="1"/>
        <c:tickLblPos val="nextTo"/>
        <c:crossAx val="239241856"/>
        <c:crosses val="autoZero"/>
        <c:crossBetween val="between"/>
      </c:valAx>
    </c:plotArea>
    <c:legend>
      <c:legendPos val="r"/>
      <c:legendEntry>
        <c:idx val="1"/>
        <c:delete val="1"/>
      </c:legendEntry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3D7D1-FCD9-4981-8753-5EE9BE286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Blocs</vt:lpstr>
    </vt:vector>
  </TitlesOfParts>
  <Company>Domicile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Blocs</dc:title>
  <dc:subject/>
  <dc:creator>PAWLAK </dc:creator>
  <cp:keywords/>
  <dc:description/>
  <cp:lastModifiedBy>user</cp:lastModifiedBy>
  <cp:revision>5</cp:revision>
  <cp:lastPrinted>2009-01-20T10:28:00Z</cp:lastPrinted>
  <dcterms:created xsi:type="dcterms:W3CDTF">2014-06-18T06:20:00Z</dcterms:created>
  <dcterms:modified xsi:type="dcterms:W3CDTF">2015-02-18T16:33:00Z</dcterms:modified>
</cp:coreProperties>
</file>