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B34" w:rsidRDefault="001C3B34" w:rsidP="001C3B34">
      <w:pPr>
        <w:pStyle w:val="stitre1"/>
      </w:pPr>
      <w:bookmarkStart w:id="0" w:name="_GoBack"/>
      <w:bookmarkEnd w:id="0"/>
      <w:r>
        <w:t xml:space="preserve">Extrait du Bo n°18 du 30 avril 2015 </w:t>
      </w:r>
      <w:r>
        <w:br/>
        <w:t>application du décret n°2015-475 du 27 avril 2015</w:t>
      </w:r>
    </w:p>
    <w:p w:rsidR="001C3B34" w:rsidRPr="00304667" w:rsidRDefault="001C3B34" w:rsidP="001C3B34">
      <w:pPr>
        <w:pStyle w:val="stitre1"/>
        <w:rPr>
          <w:sz w:val="20"/>
          <w:szCs w:val="20"/>
        </w:rPr>
      </w:pPr>
      <w:r w:rsidRPr="00304667">
        <w:rPr>
          <w:sz w:val="20"/>
          <w:szCs w:val="20"/>
        </w:rPr>
        <w:t>6/ Le référent pour les ressources et usages pédagogiques numériques</w:t>
      </w:r>
    </w:p>
    <w:p w:rsidR="001C3B34" w:rsidRPr="00304667" w:rsidRDefault="001C3B34" w:rsidP="001C3B34">
      <w:pPr>
        <w:pStyle w:val="stitre2"/>
        <w:rPr>
          <w:sz w:val="20"/>
          <w:szCs w:val="20"/>
        </w:rPr>
      </w:pPr>
      <w:r w:rsidRPr="00304667">
        <w:rPr>
          <w:sz w:val="20"/>
          <w:szCs w:val="20"/>
        </w:rPr>
        <w:t>Contenu de la mission</w:t>
      </w:r>
    </w:p>
    <w:p w:rsidR="001C3B34" w:rsidRPr="00304667" w:rsidRDefault="001C3B34" w:rsidP="001C3B34">
      <w:pPr>
        <w:pStyle w:val="NormalWeb"/>
        <w:rPr>
          <w:sz w:val="20"/>
          <w:szCs w:val="20"/>
        </w:rPr>
      </w:pPr>
      <w:r w:rsidRPr="00304667">
        <w:rPr>
          <w:sz w:val="20"/>
          <w:szCs w:val="20"/>
        </w:rPr>
        <w:t>Les missions de référent numérique, indispensables au développement des usages pédagogiques numériques dans les établissements, peuvent comporter, dans des proportions qui varient en fonction des besoins et des spécificités de chaque établissement, les trois types d'activités suivantes :</w:t>
      </w:r>
    </w:p>
    <w:p w:rsidR="001C3B34" w:rsidRPr="00304667" w:rsidRDefault="001C3B34" w:rsidP="001C3B34">
      <w:pPr>
        <w:pStyle w:val="stitre3"/>
        <w:rPr>
          <w:sz w:val="20"/>
          <w:szCs w:val="20"/>
        </w:rPr>
      </w:pPr>
      <w:r w:rsidRPr="00304667">
        <w:rPr>
          <w:rStyle w:val="lev"/>
          <w:sz w:val="20"/>
          <w:szCs w:val="20"/>
        </w:rPr>
        <w:t xml:space="preserve">1- </w:t>
      </w:r>
      <w:r w:rsidRPr="00304667">
        <w:rPr>
          <w:rStyle w:val="lev"/>
          <w:sz w:val="20"/>
          <w:szCs w:val="20"/>
          <w:highlight w:val="yellow"/>
        </w:rPr>
        <w:t>Conseiller les personnels de direction</w:t>
      </w:r>
      <w:r w:rsidRPr="00304667">
        <w:rPr>
          <w:rStyle w:val="lev"/>
          <w:sz w:val="20"/>
          <w:szCs w:val="20"/>
        </w:rPr>
        <w:t xml:space="preserve"> dans le pilotage de l'établissement et </w:t>
      </w:r>
      <w:r w:rsidRPr="00304667">
        <w:rPr>
          <w:rStyle w:val="lev"/>
          <w:sz w:val="20"/>
          <w:szCs w:val="20"/>
          <w:highlight w:val="yellow"/>
        </w:rPr>
        <w:t>accompagner les enseignants</w:t>
      </w:r>
      <w:r w:rsidRPr="00304667">
        <w:rPr>
          <w:rStyle w:val="lev"/>
          <w:sz w:val="20"/>
          <w:szCs w:val="20"/>
        </w:rPr>
        <w:t xml:space="preserve"> dans la prise en compte du numérique au quotidien dans les classes.</w:t>
      </w:r>
    </w:p>
    <w:p w:rsidR="001C3B34" w:rsidRPr="00304667" w:rsidRDefault="001C3B34" w:rsidP="001C3B34">
      <w:pPr>
        <w:pStyle w:val="NormalWeb"/>
        <w:rPr>
          <w:sz w:val="20"/>
          <w:szCs w:val="20"/>
        </w:rPr>
      </w:pPr>
      <w:r w:rsidRPr="00304667">
        <w:rPr>
          <w:sz w:val="20"/>
          <w:szCs w:val="20"/>
        </w:rPr>
        <w:t>Le conseil à l'équipe de direction porte sur :</w:t>
      </w:r>
    </w:p>
    <w:p w:rsidR="001C3B34" w:rsidRPr="00304667" w:rsidRDefault="001C3B34" w:rsidP="001C3B34">
      <w:pPr>
        <w:pStyle w:val="NormalWeb"/>
        <w:rPr>
          <w:sz w:val="20"/>
          <w:szCs w:val="20"/>
        </w:rPr>
      </w:pPr>
      <w:r w:rsidRPr="00304667">
        <w:rPr>
          <w:sz w:val="20"/>
          <w:szCs w:val="20"/>
        </w:rPr>
        <w:t>- la place du numérique dans le projet d'établissement ;</w:t>
      </w:r>
      <w:r w:rsidR="00304667">
        <w:rPr>
          <w:sz w:val="20"/>
          <w:szCs w:val="20"/>
        </w:rPr>
        <w:br/>
      </w:r>
      <w:r w:rsidRPr="00304667">
        <w:rPr>
          <w:sz w:val="20"/>
          <w:szCs w:val="20"/>
        </w:rPr>
        <w:t>- l'organisation du plan de formation au numérique de l'établissement et de l'accompagnement des équipes ;</w:t>
      </w:r>
      <w:r w:rsidR="00304667">
        <w:rPr>
          <w:sz w:val="20"/>
          <w:szCs w:val="20"/>
        </w:rPr>
        <w:br/>
      </w:r>
      <w:r w:rsidRPr="00304667">
        <w:rPr>
          <w:sz w:val="20"/>
          <w:szCs w:val="20"/>
        </w:rPr>
        <w:t>- le choix des indicateurs de suivi du projet numérique.</w:t>
      </w:r>
    </w:p>
    <w:p w:rsidR="001C3B34" w:rsidRPr="00304667" w:rsidRDefault="001C3B34" w:rsidP="001C3B34">
      <w:pPr>
        <w:pStyle w:val="NormalWeb"/>
        <w:rPr>
          <w:sz w:val="20"/>
          <w:szCs w:val="20"/>
        </w:rPr>
      </w:pPr>
      <w:r w:rsidRPr="00304667">
        <w:rPr>
          <w:sz w:val="20"/>
          <w:szCs w:val="20"/>
        </w:rPr>
        <w:t>L'accompagnement des équipes pédagogiques consiste à :</w:t>
      </w:r>
    </w:p>
    <w:p w:rsidR="001C3B34" w:rsidRPr="00304667" w:rsidRDefault="001C3B34" w:rsidP="001C3B34">
      <w:pPr>
        <w:pStyle w:val="NormalWeb"/>
        <w:rPr>
          <w:sz w:val="20"/>
          <w:szCs w:val="20"/>
        </w:rPr>
      </w:pPr>
      <w:r w:rsidRPr="00304667">
        <w:rPr>
          <w:sz w:val="20"/>
          <w:szCs w:val="20"/>
        </w:rPr>
        <w:t>- proposer des exemples de pratiques ;</w:t>
      </w:r>
      <w:r w:rsidR="00304667">
        <w:rPr>
          <w:sz w:val="20"/>
          <w:szCs w:val="20"/>
        </w:rPr>
        <w:br/>
      </w:r>
      <w:r w:rsidRPr="00304667">
        <w:rPr>
          <w:sz w:val="20"/>
          <w:szCs w:val="20"/>
        </w:rPr>
        <w:t>- aider à la mise en œuvre de projets pédagogiques ;</w:t>
      </w:r>
      <w:r w:rsidR="00304667">
        <w:rPr>
          <w:sz w:val="20"/>
          <w:szCs w:val="20"/>
        </w:rPr>
        <w:br/>
      </w:r>
      <w:r w:rsidRPr="00304667">
        <w:rPr>
          <w:sz w:val="20"/>
          <w:szCs w:val="20"/>
        </w:rPr>
        <w:t>- conseiller sur le choix de ressources pédagogiques ;</w:t>
      </w:r>
      <w:r w:rsidR="00304667">
        <w:rPr>
          <w:sz w:val="20"/>
          <w:szCs w:val="20"/>
        </w:rPr>
        <w:br/>
      </w:r>
      <w:r w:rsidRPr="00304667">
        <w:rPr>
          <w:sz w:val="20"/>
          <w:szCs w:val="20"/>
        </w:rPr>
        <w:t>- orienter les enseignants vers des formations adaptées à leurs besoins et les aider si nécessaire.</w:t>
      </w:r>
    </w:p>
    <w:p w:rsidR="001C3B34" w:rsidRPr="00304667" w:rsidRDefault="001C3B34" w:rsidP="001C3B34">
      <w:pPr>
        <w:pStyle w:val="NormalWeb"/>
        <w:rPr>
          <w:sz w:val="20"/>
          <w:szCs w:val="20"/>
        </w:rPr>
      </w:pPr>
      <w:r w:rsidRPr="00304667">
        <w:rPr>
          <w:sz w:val="20"/>
          <w:szCs w:val="20"/>
        </w:rPr>
        <w:t>Le référent doit aussi assurer une veille sur les ressources numériques et les productions nationales et académiques. Il est le relais local de la délégation académique au numérique éducatif et porte la stratégie académique et nationale. Il bénéficie de la formation continue en même temps qu'il y contribue.</w:t>
      </w:r>
    </w:p>
    <w:p w:rsidR="001C3B34" w:rsidRPr="00304667" w:rsidRDefault="001C3B34" w:rsidP="001C3B34">
      <w:pPr>
        <w:pStyle w:val="stitre3"/>
        <w:rPr>
          <w:rStyle w:val="lev"/>
          <w:sz w:val="20"/>
          <w:szCs w:val="20"/>
        </w:rPr>
      </w:pPr>
      <w:r w:rsidRPr="00304667">
        <w:rPr>
          <w:rStyle w:val="lev"/>
          <w:sz w:val="20"/>
          <w:szCs w:val="20"/>
        </w:rPr>
        <w:t xml:space="preserve">2- </w:t>
      </w:r>
      <w:r w:rsidRPr="00304667">
        <w:rPr>
          <w:rStyle w:val="lev"/>
          <w:sz w:val="20"/>
          <w:szCs w:val="20"/>
          <w:highlight w:val="yellow"/>
        </w:rPr>
        <w:t>Assurer la disponibilité technique</w:t>
      </w:r>
      <w:r w:rsidRPr="00304667">
        <w:rPr>
          <w:rStyle w:val="lev"/>
          <w:sz w:val="20"/>
          <w:szCs w:val="20"/>
        </w:rPr>
        <w:t xml:space="preserve"> des équipements en lien avec les collectivités territoriales chargées de l'équipement et de la maintenance</w:t>
      </w:r>
    </w:p>
    <w:p w:rsidR="001C3B34" w:rsidRPr="00304667" w:rsidRDefault="001C3B34" w:rsidP="001C3B34">
      <w:pPr>
        <w:pStyle w:val="NormalWeb"/>
        <w:rPr>
          <w:sz w:val="20"/>
          <w:szCs w:val="20"/>
        </w:rPr>
      </w:pPr>
      <w:r w:rsidRPr="00304667">
        <w:rPr>
          <w:sz w:val="20"/>
          <w:szCs w:val="20"/>
        </w:rPr>
        <w:t>Cet interlocuteur numérique des partenaires a pour missions :</w:t>
      </w:r>
    </w:p>
    <w:p w:rsidR="001C3B34" w:rsidRPr="00304667" w:rsidRDefault="001C3B34" w:rsidP="001C3B34">
      <w:pPr>
        <w:pStyle w:val="NormalWeb"/>
        <w:rPr>
          <w:sz w:val="20"/>
          <w:szCs w:val="20"/>
        </w:rPr>
      </w:pPr>
      <w:r w:rsidRPr="00304667">
        <w:rPr>
          <w:sz w:val="20"/>
          <w:szCs w:val="20"/>
        </w:rPr>
        <w:t>- d'accompagner le chef d'établissement dans le dialogue qu'il entretient avec les collectivités autour des choix techniques, des renouvellements d'équipements, des investissements dans de nouveaux moyens numériques ;</w:t>
      </w:r>
      <w:r w:rsidR="00304667">
        <w:rPr>
          <w:sz w:val="20"/>
          <w:szCs w:val="20"/>
        </w:rPr>
        <w:br/>
      </w:r>
      <w:r w:rsidRPr="00304667">
        <w:rPr>
          <w:sz w:val="20"/>
          <w:szCs w:val="20"/>
        </w:rPr>
        <w:t>- d'organiser une interface entre l'ensemble des utilisateurs et les personnes chargées par les collectivités de l'assistance et de la maintenance des équipements.</w:t>
      </w:r>
    </w:p>
    <w:p w:rsidR="001C3B34" w:rsidRPr="00304667" w:rsidRDefault="001C3B34" w:rsidP="001C3B34">
      <w:pPr>
        <w:pStyle w:val="NormalWeb"/>
        <w:rPr>
          <w:sz w:val="20"/>
          <w:szCs w:val="20"/>
        </w:rPr>
      </w:pPr>
      <w:r w:rsidRPr="00304667">
        <w:rPr>
          <w:rStyle w:val="lev"/>
          <w:sz w:val="20"/>
          <w:szCs w:val="20"/>
        </w:rPr>
        <w:t xml:space="preserve">3- </w:t>
      </w:r>
      <w:r w:rsidRPr="00304667">
        <w:rPr>
          <w:rStyle w:val="lev"/>
          <w:sz w:val="20"/>
          <w:szCs w:val="20"/>
          <w:highlight w:val="yellow"/>
        </w:rPr>
        <w:t>Administrer les services en ligne</w:t>
      </w:r>
      <w:r w:rsidRPr="00304667">
        <w:rPr>
          <w:rStyle w:val="lev"/>
          <w:sz w:val="20"/>
          <w:szCs w:val="20"/>
        </w:rPr>
        <w:t xml:space="preserve"> par délégation du chef d'établissement.</w:t>
      </w:r>
    </w:p>
    <w:p w:rsidR="001C3B34" w:rsidRPr="00304667" w:rsidRDefault="001C3B34" w:rsidP="001C3B34">
      <w:pPr>
        <w:pStyle w:val="NormalWeb"/>
        <w:rPr>
          <w:sz w:val="20"/>
          <w:szCs w:val="20"/>
        </w:rPr>
      </w:pPr>
      <w:r w:rsidRPr="00304667">
        <w:rPr>
          <w:sz w:val="20"/>
          <w:szCs w:val="20"/>
        </w:rPr>
        <w:t>Le responsable légal de la gestion des services en ligne (dont l'ENT) est le chef d'établissement. Il peut être amené à désigner des administrateurs délégués des services en ligne qui doivent, au quotidien et tout au long de l'année, assurer la mise à jour des données et le fonctionnement des services. Cette délégation doit être organisée dans le respect des règles de sécurité propres aux données hébergées et des responsabilités des chefs d'établissement en matière de protection de ces données.</w:t>
      </w:r>
    </w:p>
    <w:p w:rsidR="001C3B34" w:rsidRPr="00304667" w:rsidRDefault="001C3B34" w:rsidP="001C3B34">
      <w:pPr>
        <w:pStyle w:val="NormalWeb"/>
        <w:rPr>
          <w:sz w:val="20"/>
          <w:szCs w:val="20"/>
        </w:rPr>
      </w:pPr>
      <w:r w:rsidRPr="00304667">
        <w:rPr>
          <w:sz w:val="20"/>
          <w:szCs w:val="20"/>
        </w:rPr>
        <w:t>Les modalités de prise en charge de ces trois types d'activités par un ou plusieurs enseignants de l'établissement tiennent compte des compétences requises et des besoins et spécificités de l'établissement.</w:t>
      </w:r>
    </w:p>
    <w:p w:rsidR="001C3B34" w:rsidRPr="00304667" w:rsidRDefault="001C3B34" w:rsidP="001C3B34">
      <w:pPr>
        <w:pStyle w:val="stitre2"/>
        <w:rPr>
          <w:sz w:val="20"/>
          <w:szCs w:val="20"/>
        </w:rPr>
      </w:pPr>
      <w:r w:rsidRPr="00304667">
        <w:rPr>
          <w:sz w:val="20"/>
          <w:szCs w:val="20"/>
        </w:rPr>
        <w:t>Modalités d'appréciation des besoins du service</w:t>
      </w:r>
    </w:p>
    <w:p w:rsidR="001C3B34" w:rsidRPr="00304667" w:rsidRDefault="001C3B34" w:rsidP="001C3B34">
      <w:pPr>
        <w:pStyle w:val="NormalWeb"/>
        <w:rPr>
          <w:sz w:val="20"/>
          <w:szCs w:val="20"/>
        </w:rPr>
      </w:pPr>
      <w:r w:rsidRPr="00304667">
        <w:rPr>
          <w:sz w:val="20"/>
          <w:szCs w:val="20"/>
        </w:rPr>
        <w:t>Le chef d'établissement apprécie les besoins du service en la matière compte tenu de l'organisation académique mise en place pour le déploiement de la politique en matière de numérique pédagogique et de la part prise par l'établissement dans le dispositif.</w:t>
      </w:r>
    </w:p>
    <w:p w:rsidR="001C3B34" w:rsidRPr="00304667" w:rsidRDefault="001C3B34" w:rsidP="001C3B34">
      <w:pPr>
        <w:pStyle w:val="stitre2"/>
        <w:rPr>
          <w:sz w:val="20"/>
          <w:szCs w:val="20"/>
        </w:rPr>
      </w:pPr>
      <w:r w:rsidRPr="00304667">
        <w:rPr>
          <w:sz w:val="20"/>
          <w:szCs w:val="20"/>
        </w:rPr>
        <w:t>Taux d'IMP à attribuer</w:t>
      </w:r>
    </w:p>
    <w:p w:rsidR="001C3B34" w:rsidRPr="00304667" w:rsidRDefault="001C3B34" w:rsidP="001C3B34">
      <w:pPr>
        <w:pStyle w:val="NormalWeb"/>
        <w:rPr>
          <w:sz w:val="20"/>
          <w:szCs w:val="20"/>
        </w:rPr>
      </w:pPr>
      <w:r w:rsidRPr="00304667">
        <w:rPr>
          <w:sz w:val="20"/>
          <w:szCs w:val="20"/>
        </w:rPr>
        <w:t>Taux annuel de 1 250 € à 3 750 € en fonction de la charge effective de travail et du niveau d'expertise requis.</w:t>
      </w:r>
    </w:p>
    <w:p w:rsidR="008842E4" w:rsidRDefault="00EF389F"/>
    <w:sectPr w:rsidR="008842E4" w:rsidSect="003046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B34"/>
    <w:rsid w:val="0008131A"/>
    <w:rsid w:val="001C3B34"/>
    <w:rsid w:val="00304667"/>
    <w:rsid w:val="00EF389F"/>
    <w:rsid w:val="00FC07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8F136-E405-4859-8BF5-83E708B2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itre1">
    <w:name w:val="stitre1"/>
    <w:basedOn w:val="Normal"/>
    <w:rsid w:val="001C3B3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rsid w:val="001C3B3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1C3B3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3">
    <w:name w:val="stitre3"/>
    <w:basedOn w:val="Normal"/>
    <w:rsid w:val="001C3B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C3B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78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2824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pgibon</cp:lastModifiedBy>
  <cp:revision>2</cp:revision>
  <dcterms:created xsi:type="dcterms:W3CDTF">2015-11-17T09:41:00Z</dcterms:created>
  <dcterms:modified xsi:type="dcterms:W3CDTF">2015-11-17T09:41:00Z</dcterms:modified>
</cp:coreProperties>
</file>