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A5" w:rsidRPr="00587EB4" w:rsidRDefault="00DB1E1F" w:rsidP="00587E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EB4">
        <w:rPr>
          <w:rFonts w:ascii="Times New Roman" w:hAnsi="Times New Roman" w:cs="Times New Roman"/>
          <w:b/>
          <w:sz w:val="24"/>
          <w:szCs w:val="24"/>
        </w:rPr>
        <w:t>Récapitulatif regards croisés 2.1</w:t>
      </w:r>
      <w:r w:rsidR="00234DD9" w:rsidRPr="00587EB4">
        <w:rPr>
          <w:rFonts w:ascii="Times New Roman" w:hAnsi="Times New Roman" w:cs="Times New Roman"/>
          <w:b/>
          <w:sz w:val="24"/>
          <w:szCs w:val="24"/>
        </w:rPr>
        <w:t> : détermination du salaire</w:t>
      </w:r>
    </w:p>
    <w:p w:rsidR="00587EB4" w:rsidRPr="00CD3C7F" w:rsidRDefault="00587EB4">
      <w:pPr>
        <w:rPr>
          <w:rFonts w:ascii="Times New Roman" w:hAnsi="Times New Roman" w:cs="Times New Roman"/>
        </w:rPr>
      </w:pPr>
    </w:p>
    <w:p w:rsidR="00DB1E1F" w:rsidRPr="005B0454" w:rsidRDefault="00D03A26" w:rsidP="005B0454">
      <w:pPr>
        <w:rPr>
          <w:rFonts w:ascii="Times New Roman" w:hAnsi="Times New Roman" w:cs="Times New Roman"/>
        </w:rPr>
      </w:pPr>
      <w:r w:rsidRPr="00CD3C7F">
        <w:rPr>
          <w:rFonts w:ascii="Times New Roman" w:hAnsi="Times New Roman" w:cs="Times New Roman"/>
        </w:rPr>
      </w:r>
      <w:r w:rsidR="00587EB4" w:rsidRPr="00CD3C7F">
        <w:rPr>
          <w:rFonts w:ascii="Times New Roman" w:hAnsi="Times New Roman" w:cs="Times New Roman"/>
        </w:rPr>
        <w:pict>
          <v:group id="_x0000_s1027" editas="canvas" style="width:769.9pt;height:288.45pt;mso-position-horizontal-relative:char;mso-position-vertical-relative:line" coordorigin="4825,1788" coordsize="7200,269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825;top:1788;width:7200;height:2697" o:preferrelative="f" filled="t" fillcolor="white [3201]" stroked="t" strokecolor="white [3212]" strokeweight="1pt">
              <v:fill o:detectmouseclick="t"/>
              <v:stroke dashstyle="dash"/>
              <v:shadow color="#868686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895;top:2180;width:515;height:231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  <v:textbox>
                <w:txbxContent>
                  <w:p w:rsidR="00B95C04" w:rsidRDefault="00B95C04" w:rsidP="00CD3C7F">
                    <w:pPr>
                      <w:jc w:val="center"/>
                    </w:pPr>
                    <w:r>
                      <w:t>Loisirs</w:t>
                    </w:r>
                  </w:p>
                </w:txbxContent>
              </v:textbox>
            </v:shape>
            <v:shape id="_x0000_s1029" type="#_x0000_t202" style="position:absolute;left:8242;top:2136;width:782;height:357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  <v:textbox>
                <w:txbxContent>
                  <w:p w:rsidR="00B95C04" w:rsidRDefault="005B1A0E" w:rsidP="00C25CED">
                    <w:pPr>
                      <w:jc w:val="center"/>
                    </w:pPr>
                    <w:r>
                      <w:t>Représentants des salariés</w:t>
                    </w:r>
                  </w:p>
                </w:txbxContent>
              </v:textbox>
            </v:shape>
            <v:shape id="_x0000_s1030" type="#_x0000_t202" style="position:absolute;left:5542;top:2181;width:665;height:232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  <v:textbox>
                <w:txbxContent>
                  <w:p w:rsidR="00B95C04" w:rsidRPr="00234DD9" w:rsidRDefault="00B95C04" w:rsidP="00CD3C7F">
                    <w:pPr>
                      <w:jc w:val="center"/>
                      <w:rPr>
                        <w:color w:val="FF0000"/>
                      </w:rPr>
                    </w:pPr>
                    <w:r w:rsidRPr="00234DD9">
                      <w:rPr>
                        <w:color w:val="FF0000"/>
                      </w:rPr>
                      <w:t>Salaire réel</w:t>
                    </w:r>
                  </w:p>
                </w:txbxContent>
              </v:textbox>
            </v:shape>
            <v:shape id="_x0000_s1031" type="#_x0000_t202" style="position:absolute;left:6278;top:2180;width:1654;height:233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  <v:textbox>
                <w:txbxContent>
                  <w:p w:rsidR="00B95C04" w:rsidRDefault="00B95C04" w:rsidP="00CD3C7F">
                    <w:pPr>
                      <w:jc w:val="center"/>
                    </w:pPr>
                    <w:r w:rsidRPr="00234DD9">
                      <w:rPr>
                        <w:color w:val="00B050"/>
                      </w:rPr>
                      <w:t xml:space="preserve">Productivité </w:t>
                    </w:r>
                    <w:r>
                      <w:t>marginale du travail</w:t>
                    </w:r>
                  </w:p>
                </w:txbxContent>
              </v:textbox>
            </v:shape>
            <v:shape id="_x0000_s1032" type="#_x0000_t202" style="position:absolute;left:9305;top:2126;width:955;height:367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  <v:textbox>
                <w:txbxContent>
                  <w:p w:rsidR="00B95C04" w:rsidRDefault="005B1A0E" w:rsidP="00C25CED">
                    <w:pPr>
                      <w:jc w:val="center"/>
                    </w:pPr>
                    <w:r>
                      <w:t>Représentants des employeurs</w:t>
                    </w:r>
                  </w:p>
                </w:txbxContent>
              </v:textbox>
            </v:shape>
            <v:shape id="_x0000_s1033" type="#_x0000_t202" style="position:absolute;left:10727;top:1917;width:509;height:264" fillcolor="white [3201]" strokecolor="#f79646 [3209]" strokeweight="5pt">
              <v:stroke linestyle="thickThin"/>
              <v:shadow color="#868686"/>
              <v:textbox>
                <w:txbxContent>
                  <w:p w:rsidR="00B95C04" w:rsidRDefault="005B1A0E" w:rsidP="00A408C9">
                    <w:r>
                      <w:t xml:space="preserve">État </w:t>
                    </w:r>
                  </w:p>
                </w:txbxContent>
              </v:textbox>
            </v:shape>
            <v:shape id="_x0000_s1034" type="#_x0000_t202" style="position:absolute;left:5041;top:1853;width:2670;height:222" fillcolor="white [3201]" strokecolor="#4bacc6 [3208]" strokeweight="2.5pt">
              <v:shadow color="#868686"/>
              <v:textbox>
                <w:txbxContent>
                  <w:p w:rsidR="00B95C04" w:rsidRDefault="00B95C04" w:rsidP="00A408C9">
                    <w:pPr>
                      <w:jc w:val="center"/>
                    </w:pPr>
                    <w:r w:rsidRPr="007C04E5">
                      <w:rPr>
                        <w:color w:val="FF0000"/>
                      </w:rPr>
                      <w:t>Marché du travail</w:t>
                    </w:r>
                    <w:r>
                      <w:t xml:space="preserve"> (modèle néoclassique de base)</w:t>
                    </w:r>
                  </w:p>
                </w:txbxContent>
              </v:textbox>
            </v:shape>
            <v:shape id="_x0000_s1035" type="#_x0000_t202" style="position:absolute;left:8592;top:1882;width:1206;height:193" fillcolor="white [3201]" strokecolor="#f79646 [3209]" strokeweight="2.5pt">
              <v:shadow color="#868686"/>
              <v:textbox>
                <w:txbxContent>
                  <w:p w:rsidR="00B95C04" w:rsidRPr="00234DD9" w:rsidRDefault="00B95C04" w:rsidP="00A408C9">
                    <w:pPr>
                      <w:jc w:val="center"/>
                      <w:rPr>
                        <w:color w:val="FF0000"/>
                      </w:rPr>
                    </w:pPr>
                    <w:r w:rsidRPr="00234DD9">
                      <w:rPr>
                        <w:color w:val="FF0000"/>
                      </w:rPr>
                      <w:t>Partenaires sociaux</w:t>
                    </w:r>
                  </w:p>
                </w:txbxContent>
              </v:textbox>
            </v:shape>
            <v:shape id="_x0000_s1036" type="#_x0000_t202" style="position:absolute;left:5049;top:2620;width:781;height:242" fillcolor="white [3201]" strokecolor="#4bacc6 [3208]" strokeweight="1pt">
              <v:stroke dashstyle="dash"/>
              <v:shadow color="#868686"/>
              <v:textbox>
                <w:txbxContent>
                  <w:p w:rsidR="00B95C04" w:rsidRDefault="00B95C04" w:rsidP="00A408C9">
                    <w:r>
                      <w:t>Offre de travail</w:t>
                    </w:r>
                  </w:p>
                </w:txbxContent>
              </v:textbox>
            </v:shape>
            <v:shape id="_x0000_s1037" type="#_x0000_t202" style="position:absolute;left:5976;top:2629;width:1038;height:215" fillcolor="white [3201]" strokecolor="#4bacc6 [3208]" strokeweight="1pt">
              <v:stroke dashstyle="dash"/>
              <v:shadow color="#868686"/>
              <v:textbox>
                <w:txbxContent>
                  <w:p w:rsidR="00B95C04" w:rsidRDefault="00B95C04" w:rsidP="00A408C9">
                    <w:r>
                      <w:t xml:space="preserve">Demande de travail </w:t>
                    </w:r>
                  </w:p>
                </w:txbxContent>
              </v:textbox>
            </v:shape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_x0000_s1038" type="#_x0000_t117" style="position:absolute;left:4979;top:3797;width:2658;height:519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>
                <w:txbxContent>
                  <w:p w:rsidR="00B95C04" w:rsidRDefault="00B95C04" w:rsidP="00C25CED">
                    <w:pPr>
                      <w:jc w:val="center"/>
                    </w:pPr>
                    <w:r>
                      <w:t xml:space="preserve">Le </w:t>
                    </w:r>
                    <w:r w:rsidRPr="00234DD9">
                      <w:rPr>
                        <w:color w:val="FF0000"/>
                      </w:rPr>
                      <w:t>salaire</w:t>
                    </w:r>
                    <w:r>
                      <w:t xml:space="preserve"> est le produit d’une relation marchande,</w:t>
                    </w:r>
                    <w:r w:rsidR="00ED0F67">
                      <w:t xml:space="preserve"> il </w:t>
                    </w:r>
                    <w:r>
                      <w:t xml:space="preserve">se fixe sur le </w:t>
                    </w:r>
                    <w:r w:rsidRPr="00234DD9">
                      <w:rPr>
                        <w:color w:val="FF0000"/>
                      </w:rPr>
                      <w:t>marché du travail</w:t>
                    </w:r>
                    <w:r w:rsidR="00ED0F67" w:rsidRPr="00ED0F67">
                      <w:t>.</w:t>
                    </w:r>
                  </w:p>
                </w:txbxContent>
              </v:textbox>
            </v:shape>
            <v:shape id="_x0000_s1039" type="#_x0000_t202" style="position:absolute;left:8266;top:2696;width:1974;height:819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  <v:textbox>
                <w:txbxContent>
                  <w:p w:rsidR="00B95C04" w:rsidRDefault="00B67662" w:rsidP="00A408C9">
                    <w:r>
                      <w:t>…n</w:t>
                    </w:r>
                    <w:r w:rsidR="005B1A0E">
                      <w:t xml:space="preserve">égociations (et parfois </w:t>
                    </w:r>
                    <w:r w:rsidR="005B1A0E" w:rsidRPr="007C04E5">
                      <w:rPr>
                        <w:color w:val="00B050"/>
                      </w:rPr>
                      <w:t>conflits</w:t>
                    </w:r>
                    <w:r w:rsidR="005B1A0E">
                      <w:t xml:space="preserve">) </w:t>
                    </w:r>
                    <w:r w:rsidR="005B1A0E">
                      <w:sym w:font="Wingdings" w:char="F0F0"/>
                    </w:r>
                    <w:r w:rsidR="00587EB4">
                      <w:t xml:space="preserve"> </w:t>
                    </w:r>
                    <w:r w:rsidR="005B1A0E" w:rsidRPr="00234DD9">
                      <w:rPr>
                        <w:color w:val="FF0000"/>
                      </w:rPr>
                      <w:t>conventions collectives</w:t>
                    </w:r>
                    <w:r w:rsidR="005B1A0E">
                      <w:t xml:space="preserve"> (ex : conditions minimale de </w:t>
                    </w:r>
                    <w:r w:rsidR="005B1A0E" w:rsidRPr="007C04E5">
                      <w:rPr>
                        <w:b/>
                      </w:rPr>
                      <w:t>rémunération</w:t>
                    </w:r>
                    <w:r w:rsidR="005B1A0E">
                      <w:t xml:space="preserve">, grille avec </w:t>
                    </w:r>
                    <w:r w:rsidR="005B1A0E" w:rsidRPr="00234DD9">
                      <w:rPr>
                        <w:color w:val="FF0000"/>
                      </w:rPr>
                      <w:t>qualifications</w:t>
                    </w:r>
                    <w:r w:rsidR="005B1A0E">
                      <w:t xml:space="preserve"> et </w:t>
                    </w:r>
                    <w:r w:rsidR="005B1A0E" w:rsidRPr="007C04E5">
                      <w:rPr>
                        <w:b/>
                        <w:color w:val="FF0000"/>
                      </w:rPr>
                      <w:t>salaires</w:t>
                    </w:r>
                    <w:r w:rsidR="005B1A0E">
                      <w:t>, conditions de travail, droit à la formation)</w:t>
                    </w:r>
                  </w:p>
                </w:txbxContent>
              </v:textbox>
            </v:shape>
            <v:shape id="_x0000_s1040" type="#_x0000_t202" style="position:absolute;left:10545;top:2683;width:1406;height:1097" fillcolor="white [3201]" strokecolor="#f79646 [3209]" strokeweight="5pt">
              <v:stroke linestyle="thickThin"/>
              <v:shadow color="#868686"/>
              <v:textbox>
                <w:txbxContent>
                  <w:p w:rsidR="00B95C04" w:rsidRPr="007C04E5" w:rsidRDefault="00B67662" w:rsidP="00A408C9">
                    <w:pPr>
                      <w:rPr>
                        <w:b/>
                      </w:rPr>
                    </w:pPr>
                    <w:r>
                      <w:t>…d</w:t>
                    </w:r>
                    <w:r w:rsidR="00E9543F">
                      <w:t xml:space="preserve">roit du travail (ex : congés payés, durée du travail, types de contrat, </w:t>
                    </w:r>
                    <w:r w:rsidR="00E9543F" w:rsidRPr="007C04E5">
                      <w:rPr>
                        <w:b/>
                        <w:color w:val="FF0000"/>
                      </w:rPr>
                      <w:t>salaire minimum</w:t>
                    </w:r>
                    <w:r w:rsidR="00E9543F" w:rsidRPr="007C04E5">
                      <w:rPr>
                        <w:b/>
                      </w:rPr>
                      <w:t xml:space="preserve"> </w:t>
                    </w:r>
                    <w:r w:rsidR="00E9543F">
                      <w:t xml:space="preserve">et règles de </w:t>
                    </w:r>
                    <w:r w:rsidR="00E9543F" w:rsidRPr="007C04E5">
                      <w:rPr>
                        <w:b/>
                      </w:rPr>
                      <w:t xml:space="preserve">revalorisation du SMIC, indexation ou désindexation des </w:t>
                    </w:r>
                    <w:r w:rsidR="00E9543F" w:rsidRPr="007C04E5">
                      <w:rPr>
                        <w:b/>
                        <w:color w:val="FF0000"/>
                      </w:rPr>
                      <w:t>salaires</w:t>
                    </w:r>
                    <w:r w:rsidR="00E9543F" w:rsidRPr="007C04E5">
                      <w:rPr>
                        <w:b/>
                      </w:rPr>
                      <w:t>)</w:t>
                    </w:r>
                  </w:p>
                </w:txbxContent>
              </v:textbox>
            </v:shape>
            <v:shape id="_x0000_s1041" type="#_x0000_t202" style="position:absolute;left:5243;top:3068;width:1335;height:199" fillcolor="white [3201]" strokecolor="#4bacc6 [3208]" strokeweight="2.5pt">
              <v:shadow color="#868686"/>
              <v:textbox>
                <w:txbxContent>
                  <w:p w:rsidR="00B95C04" w:rsidRPr="007C04E5" w:rsidRDefault="00B95C04" w:rsidP="00A408C9">
                    <w:pPr>
                      <w:rPr>
                        <w:b/>
                      </w:rPr>
                    </w:pPr>
                    <w:r w:rsidRPr="007C04E5">
                      <w:rPr>
                        <w:b/>
                      </w:rPr>
                      <w:t>Salaire réel d’équilibre</w:t>
                    </w:r>
                  </w:p>
                </w:txbxContent>
              </v:textbox>
            </v:shape>
            <v:shape id="_x0000_s1042" type="#_x0000_t117" style="position:absolute;left:8796;top:3878;width:2882;height:418" fillcolor="#f79646 [3209]" strokecolor="#f79646 [3209]" strokeweight="10pt">
              <v:stroke linestyle="thinThin"/>
              <v:shadow color="#868686"/>
              <v:textbox>
                <w:txbxContent>
                  <w:p w:rsidR="00B95C04" w:rsidRDefault="00B95C04" w:rsidP="00A408C9">
                    <w:r>
                      <w:t xml:space="preserve">Le </w:t>
                    </w:r>
                    <w:r w:rsidRPr="007C04E5">
                      <w:rPr>
                        <w:color w:val="FF0000"/>
                      </w:rPr>
                      <w:t>salaire</w:t>
                    </w:r>
                    <w:r>
                      <w:t xml:space="preserve"> est déterminé par d’aut</w:t>
                    </w:r>
                    <w:r w:rsidR="00C25CED">
                      <w:t>res institutions que le marché.</w:t>
                    </w:r>
                  </w:p>
                </w:txbxContent>
              </v:textbox>
            </v:shape>
            <v:shape id="_x0000_s1043" type="#_x0000_t202" style="position:absolute;left:8731;top:3531;width:1130;height:210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  <v:textbox>
                <w:txbxContent>
                  <w:p w:rsidR="00E9543F" w:rsidRDefault="00E9543F" w:rsidP="00A408C9">
                    <w:r>
                      <w:t xml:space="preserve">en conformité avec </w:t>
                    </w:r>
                    <w:r w:rsidR="00B67662">
                      <w:t>le…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9861;top:3232;width:661;height:404;flip:y" o:connectortype="straight" strokeweight=".5pt">
              <v:stroke dashstyle="dash" endarrow="block"/>
            </v:shape>
            <v:shape id="_x0000_s1046" type="#_x0000_t202" style="position:absolute;left:10366;top:2290;width:1585;height:368" strokecolor="white [3212]">
              <v:textbox>
                <w:txbxContent>
                  <w:p w:rsidR="00B67662" w:rsidRDefault="00B67662" w:rsidP="00A408C9">
                    <w:r>
                      <w:t>Peut particip</w:t>
                    </w:r>
                    <w:r w:rsidR="00C25CED">
                      <w:t>er et imposer (lois Auroux) des normes…</w:t>
                    </w:r>
                  </w:p>
                </w:txbxContent>
              </v:textbox>
            </v:shape>
            <v:shape id="_x0000_s1047" type="#_x0000_t32" style="position:absolute;left:10240;top:2205;width:742;height:900;flip:x" o:connectortype="straight">
              <v:stroke dashstyle="dash" endarrow="block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48" type="#_x0000_t67" style="position:absolute;left:5200;top:2413;width:116;height:188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  <v:textbox style="layout-flow:vertical-ideographic"/>
            </v:shape>
            <v:shape id="_x0000_s1049" type="#_x0000_t67" style="position:absolute;left:5640;top:2428;width:116;height:189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  <v:textbox style="layout-flow:vertical-ideographic"/>
            </v:shape>
            <v:shape id="_x0000_s1050" type="#_x0000_t67" style="position:absolute;left:6481;top:2411;width:116;height:190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  <v:textbox style="layout-flow:vertical-ideographic"/>
            </v:shape>
            <v:shape id="_x0000_s1051" type="#_x0000_t67" style="position:absolute;left:6091;top:2413;width:116;height:189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  <v:textbox style="layout-flow:vertical-ideographic"/>
            </v:shape>
            <v:shape id="_x0000_s1052" type="#_x0000_t67" style="position:absolute;left:5649;top:2862;width:117;height:190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  <v:textbox style="layout-flow:vertical-ideographic"/>
            </v:shape>
            <v:shape id="_x0000_s1053" type="#_x0000_t67" style="position:absolute;left:6090;top:2862;width:117;height:189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  <v:textbox style="layout-flow:vertical-ideographic"/>
            </v:shape>
            <v:shape id="_x0000_s1055" type="#_x0000_t67" style="position:absolute;left:8786;top:2493;width:127;height:189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  <v:textbox style="layout-flow:vertical-ideographic"/>
            </v:shape>
            <v:shape id="_x0000_s1056" type="#_x0000_t67" style="position:absolute;left:9551;top:2493;width:128;height:190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  <v:textbox style="layout-flow:vertical-ideographic"/>
            </v:shape>
            <w10:anchorlock/>
          </v:group>
        </w:pict>
      </w:r>
      <w:bookmarkStart w:id="0" w:name="_GoBack"/>
      <w:bookmarkEnd w:id="0"/>
    </w:p>
    <w:sectPr w:rsidR="00DB1E1F" w:rsidRPr="005B0454" w:rsidSect="005B0454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A26" w:rsidRDefault="00D03A26" w:rsidP="005B0454">
      <w:pPr>
        <w:spacing w:after="0" w:line="240" w:lineRule="auto"/>
      </w:pPr>
      <w:r>
        <w:separator/>
      </w:r>
    </w:p>
  </w:endnote>
  <w:endnote w:type="continuationSeparator" w:id="0">
    <w:p w:rsidR="00D03A26" w:rsidRDefault="00D03A26" w:rsidP="005B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454" w:rsidRPr="005B0454" w:rsidRDefault="005B0454">
    <w:pPr>
      <w:pStyle w:val="Pieddepag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F7344C">
      <w:rPr>
        <w:rFonts w:ascii="Times New Roman" w:hAnsi="Times New Roman" w:cs="Times New Roman"/>
        <w:noProof/>
        <w:sz w:val="20"/>
        <w:szCs w:val="20"/>
      </w:rPr>
      <w:t>2016_stage-rc2_recap-rc21_la-pf</w:t>
    </w:r>
    <w:r>
      <w:rPr>
        <w:rFonts w:ascii="Times New Roman" w:hAnsi="Times New Roman" w:cs="Times New Roman"/>
        <w:sz w:val="20"/>
        <w:szCs w:val="20"/>
      </w:rPr>
      <w:fldChar w:fldCharType="end"/>
    </w:r>
    <w:r w:rsidRPr="005B0454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5B0454">
      <w:rPr>
        <w:rFonts w:ascii="Times New Roman" w:hAnsi="Times New Roman" w:cs="Times New Roman"/>
        <w:sz w:val="20"/>
        <w:szCs w:val="20"/>
      </w:rPr>
      <w:t xml:space="preserve">Page </w:t>
    </w:r>
    <w:r w:rsidRPr="005B0454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5B0454">
      <w:rPr>
        <w:rFonts w:ascii="Times New Roman" w:hAnsi="Times New Roman" w:cs="Times New Roman"/>
        <w:b/>
        <w:bCs/>
        <w:sz w:val="20"/>
        <w:szCs w:val="20"/>
      </w:rPr>
      <w:instrText>PAGE  \* Arabic  \* MERGEFORMAT</w:instrText>
    </w:r>
    <w:r w:rsidRPr="005B0454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F7344C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Pr="005B0454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5B0454">
      <w:rPr>
        <w:rFonts w:ascii="Times New Roman" w:hAnsi="Times New Roman" w:cs="Times New Roman"/>
        <w:sz w:val="20"/>
        <w:szCs w:val="20"/>
      </w:rPr>
      <w:t xml:space="preserve"> sur </w:t>
    </w:r>
    <w:r w:rsidRPr="005B0454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5B0454">
      <w:rPr>
        <w:rFonts w:ascii="Times New Roman" w:hAnsi="Times New Roman" w:cs="Times New Roman"/>
        <w:b/>
        <w:bCs/>
        <w:sz w:val="20"/>
        <w:szCs w:val="20"/>
      </w:rPr>
      <w:instrText>NUMPAGES  \* Arabic  \* MERGEFORMAT</w:instrText>
    </w:r>
    <w:r w:rsidRPr="005B0454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F7344C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Pr="005B0454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5B0454">
      <w:rPr>
        <w:rFonts w:ascii="Times New Roman" w:hAnsi="Times New Roman" w:cs="Times New Roman"/>
        <w:sz w:val="20"/>
        <w:szCs w:val="20"/>
      </w:rPr>
      <w:ptab w:relativeTo="margin" w:alignment="right" w:leader="none"/>
    </w:r>
    <w:r>
      <w:rPr>
        <w:rFonts w:ascii="Times New Roman" w:hAnsi="Times New Roman" w:cs="Times New Roman"/>
        <w:sz w:val="20"/>
        <w:szCs w:val="20"/>
      </w:rPr>
      <w:t>Aix-Marseille, L. Auffant, avril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A26" w:rsidRDefault="00D03A26" w:rsidP="005B0454">
      <w:pPr>
        <w:spacing w:after="0" w:line="240" w:lineRule="auto"/>
      </w:pPr>
      <w:r>
        <w:separator/>
      </w:r>
    </w:p>
  </w:footnote>
  <w:footnote w:type="continuationSeparator" w:id="0">
    <w:p w:rsidR="00D03A26" w:rsidRDefault="00D03A26" w:rsidP="005B0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E1F"/>
    <w:rsid w:val="00044D95"/>
    <w:rsid w:val="00234DD9"/>
    <w:rsid w:val="003820E0"/>
    <w:rsid w:val="00532CF0"/>
    <w:rsid w:val="00587EB4"/>
    <w:rsid w:val="005B0454"/>
    <w:rsid w:val="005B1A0E"/>
    <w:rsid w:val="005B5CAA"/>
    <w:rsid w:val="007C04E5"/>
    <w:rsid w:val="00801DA6"/>
    <w:rsid w:val="0088332B"/>
    <w:rsid w:val="00A408C9"/>
    <w:rsid w:val="00A51FA5"/>
    <w:rsid w:val="00B67662"/>
    <w:rsid w:val="00B95C04"/>
    <w:rsid w:val="00C25CED"/>
    <w:rsid w:val="00C83754"/>
    <w:rsid w:val="00CD3C7F"/>
    <w:rsid w:val="00D03A26"/>
    <w:rsid w:val="00DB1E1F"/>
    <w:rsid w:val="00E86EB4"/>
    <w:rsid w:val="00E9543F"/>
    <w:rsid w:val="00ED0F67"/>
    <w:rsid w:val="00F7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x0000_s1044">
          <o:proxy start="" idref="#_x0000_s1043" connectloc="3"/>
          <o:proxy end="" idref="#_x0000_s1040" connectloc="1"/>
        </o:r>
        <o:r id="V:Rule2" type="connector" idref="#_x0000_s1047">
          <o:proxy start="" idref="#_x0000_s1033" connectloc="2"/>
          <o:proxy end="" idref="#_x0000_s1039" connectloc="3"/>
        </o:r>
      </o:rules>
    </o:shapelayout>
  </w:shapeDefaults>
  <w:decimalSymbol w:val=","/>
  <w:listSeparator w:val=";"/>
  <w14:docId w14:val="4C40D5DF"/>
  <w15:docId w15:val="{733670D3-3801-4E2C-B954-B03051D1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51F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0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0454"/>
  </w:style>
  <w:style w:type="paragraph" w:styleId="Pieddepage">
    <w:name w:val="footer"/>
    <w:basedOn w:val="Normal"/>
    <w:link w:val="PieddepageCar"/>
    <w:uiPriority w:val="99"/>
    <w:unhideWhenUsed/>
    <w:rsid w:val="005B0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0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</dc:creator>
  <cp:lastModifiedBy>Philippe Froissart</cp:lastModifiedBy>
  <cp:revision>4</cp:revision>
  <cp:lastPrinted>2016-04-17T10:10:00Z</cp:lastPrinted>
  <dcterms:created xsi:type="dcterms:W3CDTF">2016-04-17T10:07:00Z</dcterms:created>
  <dcterms:modified xsi:type="dcterms:W3CDTF">2016-04-17T10:11:00Z</dcterms:modified>
</cp:coreProperties>
</file>