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E3D28" w:rsidRDefault="004E3D28">
      <w:pPr>
        <w:jc w:val="center"/>
        <w:rPr>
          <w:i/>
          <w:iCs/>
          <w:sz w:val="20"/>
        </w:rPr>
      </w:pPr>
      <w:r w:rsidRPr="004E3D28">
        <w:rPr>
          <w:i/>
          <w:iCs/>
          <w:sz w:val="20"/>
        </w:rPr>
        <w:t xml:space="preserve"> </w:t>
      </w:r>
    </w:p>
    <w:p w:rsidR="004E3D28" w:rsidRDefault="000425B6">
      <w:pPr>
        <w:jc w:val="center"/>
        <w:rPr>
          <w:i/>
          <w:iCs/>
          <w:sz w:val="20"/>
        </w:rPr>
      </w:pPr>
      <w:r>
        <w:rPr>
          <w:noProof/>
          <w:lang w:eastAsia="fr-F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63500</wp:posOffset>
            </wp:positionV>
            <wp:extent cx="2263140" cy="769620"/>
            <wp:effectExtent l="0" t="0" r="0" b="0"/>
            <wp:wrapSquare wrapText="bothSides"/>
            <wp:docPr id="7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14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3E4C" w:rsidRPr="004E3D28" w:rsidRDefault="00CE2890" w:rsidP="00FC2C97">
      <w:pPr>
        <w:ind w:left="708" w:hanging="708"/>
        <w:jc w:val="center"/>
        <w:rPr>
          <w:i/>
          <w:sz w:val="40"/>
          <w:szCs w:val="48"/>
        </w:rPr>
      </w:pPr>
      <w:r>
        <w:rPr>
          <w:noProof/>
          <w:sz w:val="40"/>
          <w:szCs w:val="48"/>
        </w:rPr>
        <w:t xml:space="preserve">Sur les pas de </w:t>
      </w:r>
      <w:r w:rsidR="00990845">
        <w:rPr>
          <w:noProof/>
          <w:sz w:val="40"/>
          <w:szCs w:val="48"/>
        </w:rPr>
        <w:t>Descartes</w:t>
      </w:r>
      <w:r>
        <w:rPr>
          <w:noProof/>
          <w:sz w:val="40"/>
          <w:szCs w:val="48"/>
        </w:rPr>
        <w:t xml:space="preserve"> et de Snell</w:t>
      </w:r>
    </w:p>
    <w:p w:rsidR="00783E4C" w:rsidRPr="002718D9" w:rsidRDefault="002718D9" w:rsidP="002718D9">
      <w:pPr>
        <w:jc w:val="center"/>
      </w:pPr>
      <w:r w:rsidRPr="003A390C">
        <w:t>Académie Aix-Marseille</w:t>
      </w:r>
      <w:r w:rsidR="00D57C87">
        <w:t xml:space="preserve"> 2017-2018</w:t>
      </w:r>
    </w:p>
    <w:p w:rsidR="00CA77DF" w:rsidRDefault="00CA77DF">
      <w:pPr>
        <w:rPr>
          <w:b/>
          <w:i/>
          <w:iCs/>
          <w:u w:val="single"/>
        </w:rPr>
      </w:pPr>
    </w:p>
    <w:p w:rsidR="00CA77DF" w:rsidRPr="00A45463" w:rsidRDefault="00CA77DF">
      <w:pPr>
        <w:rPr>
          <w:b/>
          <w:iCs/>
          <w:u w:val="single"/>
        </w:rPr>
      </w:pPr>
    </w:p>
    <w:p w:rsidR="00784D62" w:rsidRDefault="00783E4C">
      <w:pPr>
        <w:rPr>
          <w:b/>
          <w:iCs/>
        </w:rPr>
      </w:pPr>
      <w:r w:rsidRPr="008E4746">
        <w:rPr>
          <w:b/>
          <w:iCs/>
        </w:rPr>
        <w:t>Introduction</w:t>
      </w:r>
      <w:r w:rsidR="00784D62" w:rsidRPr="008E4746">
        <w:rPr>
          <w:b/>
          <w:iCs/>
        </w:rPr>
        <w:t xml:space="preserve"> : </w:t>
      </w:r>
      <w:r w:rsidR="000250D2">
        <w:rPr>
          <w:b/>
          <w:iCs/>
        </w:rPr>
        <w:t>Mais pourquoi ces sinus dans la 2</w:t>
      </w:r>
      <w:r w:rsidR="000250D2" w:rsidRPr="000250D2">
        <w:rPr>
          <w:b/>
          <w:iCs/>
          <w:vertAlign w:val="superscript"/>
        </w:rPr>
        <w:t>e</w:t>
      </w:r>
      <w:r w:rsidR="000250D2">
        <w:rPr>
          <w:b/>
          <w:iCs/>
        </w:rPr>
        <w:t xml:space="preserve"> loi de la réfraction de Snell-Descartes ?...</w:t>
      </w:r>
    </w:p>
    <w:p w:rsidR="000250D2" w:rsidRPr="008E4746" w:rsidRDefault="000250D2">
      <w:pPr>
        <w:rPr>
          <w:b/>
          <w:iCs/>
        </w:rPr>
      </w:pPr>
      <w:r>
        <w:rPr>
          <w:b/>
          <w:iCs/>
        </w:rPr>
        <w:t>Ce scénario propose aux élèves de réaliser une construction</w:t>
      </w:r>
      <w:r w:rsidR="00094644">
        <w:rPr>
          <w:b/>
          <w:iCs/>
        </w:rPr>
        <w:t xml:space="preserve"> géométrique, tout comme Descartes,</w:t>
      </w:r>
      <w:r w:rsidR="000425B6">
        <w:rPr>
          <w:b/>
          <w:iCs/>
        </w:rPr>
        <w:t xml:space="preserve"> </w:t>
      </w:r>
      <w:r>
        <w:rPr>
          <w:b/>
          <w:iCs/>
        </w:rPr>
        <w:t>(« papier » ou « numérique » avec l’aide du logiciel de simulation GeoGebra) pour redécouvrir eux-mêmes cette loi.</w:t>
      </w:r>
    </w:p>
    <w:p w:rsidR="00FC2C97" w:rsidRPr="00A45463" w:rsidRDefault="00FC2C97">
      <w:pPr>
        <w:rPr>
          <w:iCs/>
        </w:rPr>
      </w:pPr>
    </w:p>
    <w:p w:rsidR="004E3D28" w:rsidRPr="00A45463" w:rsidRDefault="004E3D28" w:rsidP="004E3D28">
      <w:pPr>
        <w:rPr>
          <w:iCs/>
        </w:rPr>
      </w:pPr>
      <w:r w:rsidRPr="00A45463">
        <w:rPr>
          <w:b/>
          <w:u w:val="single"/>
        </w:rPr>
        <w:t>• Professeur expérimentateur</w:t>
      </w:r>
      <w:r w:rsidRPr="00A45463">
        <w:rPr>
          <w:iCs/>
        </w:rPr>
        <w:t xml:space="preserve"> </w:t>
      </w:r>
      <w:r w:rsidR="00CE2890" w:rsidRPr="00C167AF">
        <w:rPr>
          <w:b/>
        </w:rPr>
        <w:t xml:space="preserve">: </w:t>
      </w:r>
      <w:r w:rsidR="00CE2890">
        <w:t xml:space="preserve">Véronique </w:t>
      </w:r>
      <w:proofErr w:type="spellStart"/>
      <w:r w:rsidR="00CE2890">
        <w:t>Chojnacki</w:t>
      </w:r>
      <w:proofErr w:type="spellEnd"/>
      <w:r w:rsidR="00CE2890">
        <w:t xml:space="preserve"> et Michèle </w:t>
      </w:r>
      <w:proofErr w:type="spellStart"/>
      <w:r w:rsidR="00CE2890">
        <w:t>Er-rachidi</w:t>
      </w:r>
      <w:proofErr w:type="spellEnd"/>
      <w:r w:rsidR="00CE2890">
        <w:t>. Participation Marie-Agnès Martens.</w:t>
      </w:r>
    </w:p>
    <w:p w:rsidR="004E3D28" w:rsidRPr="00A45463" w:rsidRDefault="004E3D28">
      <w:pPr>
        <w:rPr>
          <w:b/>
          <w:u w:val="single"/>
        </w:rPr>
      </w:pPr>
    </w:p>
    <w:p w:rsidR="0061612E" w:rsidRPr="00A45463" w:rsidRDefault="00783E4C">
      <w:r w:rsidRPr="00A45463">
        <w:rPr>
          <w:b/>
          <w:u w:val="single"/>
        </w:rPr>
        <w:t>• Niveau</w:t>
      </w:r>
      <w:r w:rsidR="00BF0AAB">
        <w:rPr>
          <w:b/>
          <w:u w:val="single"/>
        </w:rPr>
        <w:t xml:space="preserve">, </w:t>
      </w:r>
      <w:r w:rsidR="00FC2C97" w:rsidRPr="00A45463">
        <w:rPr>
          <w:b/>
          <w:u w:val="single"/>
        </w:rPr>
        <w:t>thème du programme (avec extrait précis du B.O.)</w:t>
      </w:r>
      <w:r w:rsidR="00BF0AAB">
        <w:rPr>
          <w:b/>
          <w:u w:val="single"/>
        </w:rPr>
        <w:t xml:space="preserve"> et compétences</w:t>
      </w:r>
      <w:r w:rsidR="00FC2C97" w:rsidRPr="00A45463">
        <w:rPr>
          <w:b/>
          <w:u w:val="single"/>
        </w:rPr>
        <w:t xml:space="preserve"> </w:t>
      </w:r>
      <w:r w:rsidR="000F316F" w:rsidRPr="00A45463">
        <w:rPr>
          <w:b/>
          <w:u w:val="single"/>
        </w:rPr>
        <w:t xml:space="preserve">: </w:t>
      </w:r>
    </w:p>
    <w:p w:rsidR="00CE2890" w:rsidRDefault="00CE2890" w:rsidP="00CE2890">
      <w:pPr>
        <w:spacing w:line="240" w:lineRule="auto"/>
        <w:rPr>
          <w:b/>
        </w:rPr>
      </w:pPr>
      <w:r>
        <w:rPr>
          <w:b/>
        </w:rPr>
        <w:t>Secondes</w:t>
      </w:r>
    </w:p>
    <w:p w:rsidR="00CE2890" w:rsidRDefault="00CE2890" w:rsidP="00CE2890">
      <w:pPr>
        <w:spacing w:line="240" w:lineRule="auto"/>
        <w:rPr>
          <w:b/>
        </w:rPr>
      </w:pPr>
      <w:r>
        <w:rPr>
          <w:b/>
        </w:rPr>
        <w:t>Thème Santé ou Univers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46"/>
        <w:gridCol w:w="4890"/>
      </w:tblGrid>
      <w:tr w:rsidR="00CE2890" w:rsidRPr="00E63838" w:rsidTr="00E659CE">
        <w:tc>
          <w:tcPr>
            <w:tcW w:w="5303" w:type="dxa"/>
            <w:shd w:val="clear" w:color="auto" w:fill="auto"/>
          </w:tcPr>
          <w:p w:rsidR="00CE2890" w:rsidRPr="00E659CE" w:rsidRDefault="00CE2890" w:rsidP="00E65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∞"/>
                <w:b/>
              </w:rPr>
            </w:pPr>
            <w:r w:rsidRPr="00E659CE">
              <w:rPr>
                <w:rFonts w:cs="∞"/>
                <w:b/>
              </w:rPr>
              <w:t>NOTIONS ET CONTENUS</w:t>
            </w:r>
          </w:p>
        </w:tc>
        <w:tc>
          <w:tcPr>
            <w:tcW w:w="5303" w:type="dxa"/>
            <w:shd w:val="clear" w:color="auto" w:fill="auto"/>
          </w:tcPr>
          <w:p w:rsidR="00CE2890" w:rsidRPr="00E659CE" w:rsidRDefault="00CE2890" w:rsidP="00E659C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∞"/>
                <w:b/>
              </w:rPr>
            </w:pPr>
            <w:r w:rsidRPr="00E659CE">
              <w:rPr>
                <w:rFonts w:cs="∞"/>
                <w:b/>
              </w:rPr>
              <w:t xml:space="preserve">COMPETENCES ATTENDUES </w:t>
            </w:r>
          </w:p>
        </w:tc>
      </w:tr>
      <w:tr w:rsidR="00CE2890" w:rsidRPr="00E63838" w:rsidTr="00E659CE">
        <w:tc>
          <w:tcPr>
            <w:tcW w:w="5303" w:type="dxa"/>
            <w:shd w:val="clear" w:color="auto" w:fill="auto"/>
          </w:tcPr>
          <w:p w:rsidR="00CE2890" w:rsidRPr="00CE2890" w:rsidRDefault="00BF0AAB" w:rsidP="00E659CE">
            <w:pPr>
              <w:widowControl w:val="0"/>
              <w:autoSpaceDE w:val="0"/>
              <w:autoSpaceDN w:val="0"/>
              <w:adjustRightInd w:val="0"/>
            </w:pPr>
            <w:r>
              <w:t>Réfraction</w:t>
            </w:r>
          </w:p>
          <w:p w:rsidR="00CE2890" w:rsidRPr="00CE2890" w:rsidRDefault="00CE2890" w:rsidP="00E659CE">
            <w:pPr>
              <w:widowControl w:val="0"/>
              <w:autoSpaceDE w:val="0"/>
              <w:autoSpaceDN w:val="0"/>
              <w:adjustRightInd w:val="0"/>
            </w:pPr>
            <w:r w:rsidRPr="00CE2890">
              <w:t>Loi de Snell - Descartes</w:t>
            </w:r>
          </w:p>
          <w:p w:rsidR="00CE2890" w:rsidRPr="00CE2890" w:rsidRDefault="00CE2890" w:rsidP="00E659C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303" w:type="dxa"/>
            <w:shd w:val="clear" w:color="auto" w:fill="auto"/>
          </w:tcPr>
          <w:p w:rsidR="00CE2890" w:rsidRPr="00CE2890" w:rsidRDefault="00CE2890" w:rsidP="00E659CE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9CE">
              <w:rPr>
                <w:highlight w:val="lightGray"/>
              </w:rPr>
              <w:t xml:space="preserve">Pratiquer une démarche expérimentale pour établir un modèle </w:t>
            </w:r>
            <w:r w:rsidR="00BF0AAB">
              <w:rPr>
                <w:highlight w:val="lightGray"/>
              </w:rPr>
              <w:t>à partir d’une série de mesures</w:t>
            </w:r>
          </w:p>
          <w:p w:rsidR="00CE2890" w:rsidRPr="00436709" w:rsidRDefault="00CE2890" w:rsidP="00436709">
            <w:pPr>
              <w:pStyle w:val="Default"/>
              <w:jc w:val="both"/>
              <w:rPr>
                <w:sz w:val="23"/>
                <w:szCs w:val="23"/>
              </w:rPr>
            </w:pPr>
            <w:r w:rsidRPr="00E659CE">
              <w:rPr>
                <w:rFonts w:ascii="Cambria Math" w:hAnsi="Cambria Math" w:cs="Cambria Math"/>
                <w:sz w:val="23"/>
                <w:szCs w:val="23"/>
              </w:rPr>
              <w:t>⇄</w:t>
            </w:r>
            <w:r w:rsidRPr="00E659CE">
              <w:rPr>
                <w:sz w:val="23"/>
                <w:szCs w:val="23"/>
              </w:rPr>
              <w:t xml:space="preserve"> trigonom</w:t>
            </w:r>
            <w:r w:rsidRPr="00E659CE">
              <w:rPr>
                <w:rFonts w:hint="eastAsia"/>
                <w:sz w:val="23"/>
                <w:szCs w:val="23"/>
              </w:rPr>
              <w:t>é</w:t>
            </w:r>
            <w:r w:rsidRPr="00E659CE">
              <w:rPr>
                <w:sz w:val="23"/>
                <w:szCs w:val="23"/>
              </w:rPr>
              <w:t xml:space="preserve">trie </w:t>
            </w:r>
          </w:p>
        </w:tc>
      </w:tr>
    </w:tbl>
    <w:p w:rsidR="00953F04" w:rsidRPr="008E4746" w:rsidRDefault="00953F04">
      <w:pPr>
        <w:rPr>
          <w:iCs/>
        </w:rPr>
      </w:pPr>
    </w:p>
    <w:p w:rsidR="00ED5ECB" w:rsidRPr="00A45463" w:rsidRDefault="00A45463" w:rsidP="00ED5ECB">
      <w:pPr>
        <w:rPr>
          <w:b/>
          <w:u w:val="single"/>
        </w:rPr>
      </w:pPr>
      <w:r>
        <w:rPr>
          <w:b/>
          <w:u w:val="single"/>
        </w:rPr>
        <w:t>• Les o</w:t>
      </w:r>
      <w:r w:rsidR="00ED5ECB" w:rsidRPr="00A45463">
        <w:rPr>
          <w:b/>
          <w:u w:val="single"/>
        </w:rPr>
        <w:t>bjectifs :</w:t>
      </w:r>
    </w:p>
    <w:p w:rsidR="00CE2890" w:rsidRPr="00094644" w:rsidRDefault="000250D2" w:rsidP="00094644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sz w:val="24"/>
          <w:szCs w:val="24"/>
        </w:rPr>
        <w:t>Les élèves ont pour mission de trouver la 2</w:t>
      </w:r>
      <w:r w:rsidRPr="000250D2">
        <w:rPr>
          <w:sz w:val="24"/>
          <w:szCs w:val="24"/>
          <w:vertAlign w:val="superscript"/>
        </w:rPr>
        <w:t>e</w:t>
      </w:r>
      <w:r>
        <w:rPr>
          <w:sz w:val="24"/>
          <w:szCs w:val="24"/>
        </w:rPr>
        <w:t xml:space="preserve"> loi de la réfraction de Snell – Descartes dans le cas particulier où le milieu incident est l’air (ou le vide). </w:t>
      </w:r>
    </w:p>
    <w:p w:rsidR="00FC2C97" w:rsidRPr="00A45463" w:rsidRDefault="00FC2C97"/>
    <w:p w:rsidR="00784D62" w:rsidRPr="008E4746" w:rsidRDefault="00783E4C" w:rsidP="008E4746">
      <w:pPr>
        <w:rPr>
          <w:iCs/>
        </w:rPr>
      </w:pPr>
      <w:r w:rsidRPr="00A45463">
        <w:rPr>
          <w:b/>
          <w:u w:val="single"/>
        </w:rPr>
        <w:t xml:space="preserve">• </w:t>
      </w:r>
      <w:r w:rsidR="00A45463">
        <w:rPr>
          <w:b/>
          <w:iCs/>
          <w:u w:val="single"/>
        </w:rPr>
        <w:t>Les m</w:t>
      </w:r>
      <w:r w:rsidR="00FC2C97" w:rsidRPr="00A45463">
        <w:rPr>
          <w:b/>
          <w:iCs/>
          <w:u w:val="single"/>
        </w:rPr>
        <w:t xml:space="preserve">odalités </w:t>
      </w:r>
      <w:r w:rsidR="008E4746">
        <w:rPr>
          <w:b/>
          <w:iCs/>
          <w:u w:val="single"/>
        </w:rPr>
        <w:t xml:space="preserve">(durée, </w:t>
      </w:r>
      <w:proofErr w:type="gramStart"/>
      <w:r w:rsidR="008E4746">
        <w:rPr>
          <w:b/>
          <w:iCs/>
          <w:u w:val="single"/>
        </w:rPr>
        <w:t>groupes,…</w:t>
      </w:r>
      <w:proofErr w:type="gramEnd"/>
      <w:r w:rsidR="008E4746">
        <w:rPr>
          <w:b/>
          <w:iCs/>
          <w:u w:val="single"/>
        </w:rPr>
        <w:t>)</w:t>
      </w:r>
      <w:r w:rsidR="004D0418">
        <w:rPr>
          <w:b/>
          <w:iCs/>
          <w:u w:val="single"/>
        </w:rPr>
        <w:t xml:space="preserve"> </w:t>
      </w:r>
      <w:r w:rsidRPr="00A45463">
        <w:rPr>
          <w:b/>
          <w:iCs/>
          <w:u w:val="single"/>
        </w:rPr>
        <w:t>:</w:t>
      </w:r>
    </w:p>
    <w:p w:rsidR="00FC2C97" w:rsidRDefault="00CE2890" w:rsidP="008E4746">
      <w:pPr>
        <w:rPr>
          <w:iCs/>
        </w:rPr>
      </w:pPr>
      <w:r>
        <w:rPr>
          <w:iCs/>
        </w:rPr>
        <w:t>1h30</w:t>
      </w:r>
      <w:r w:rsidR="000250D2">
        <w:rPr>
          <w:iCs/>
        </w:rPr>
        <w:t xml:space="preserve">, en </w:t>
      </w:r>
      <w:r w:rsidR="00094644">
        <w:rPr>
          <w:iCs/>
        </w:rPr>
        <w:t>binômes</w:t>
      </w:r>
    </w:p>
    <w:p w:rsidR="00CE2890" w:rsidRPr="008E4746" w:rsidRDefault="00CE2890" w:rsidP="008E4746">
      <w:pPr>
        <w:rPr>
          <w:iCs/>
        </w:rPr>
      </w:pPr>
    </w:p>
    <w:p w:rsidR="00783E4C" w:rsidRPr="005D31F3" w:rsidRDefault="00A45463">
      <w:pPr>
        <w:rPr>
          <w:b/>
          <w:u w:val="single"/>
        </w:rPr>
      </w:pPr>
      <w:r>
        <w:rPr>
          <w:b/>
          <w:u w:val="single"/>
        </w:rPr>
        <w:t>• Les o</w:t>
      </w:r>
      <w:r w:rsidR="00784D62">
        <w:rPr>
          <w:b/>
          <w:u w:val="single"/>
        </w:rPr>
        <w:t>utils ou fonctionnalités utilisées :</w:t>
      </w:r>
    </w:p>
    <w:p w:rsidR="00094644" w:rsidRPr="008E4746" w:rsidRDefault="00094644">
      <w:pPr>
        <w:rPr>
          <w:iCs/>
        </w:rPr>
      </w:pPr>
      <w:r>
        <w:rPr>
          <w:iCs/>
        </w:rPr>
        <w:t xml:space="preserve">Dispositif </w:t>
      </w:r>
      <w:r w:rsidR="00436709">
        <w:rPr>
          <w:iCs/>
        </w:rPr>
        <w:t>pour l’étude de la réfraction</w:t>
      </w:r>
      <w:r>
        <w:rPr>
          <w:iCs/>
        </w:rPr>
        <w:t xml:space="preserve"> (lampe, fe</w:t>
      </w:r>
      <w:r w:rsidR="00436709">
        <w:rPr>
          <w:iCs/>
        </w:rPr>
        <w:t>nte, hémi-cylindre de plexiglas, support avec angles indiqués)</w:t>
      </w:r>
    </w:p>
    <w:p w:rsidR="00FC2C97" w:rsidRPr="008E4746" w:rsidRDefault="00AB4B61">
      <w:pPr>
        <w:rPr>
          <w:iCs/>
        </w:rPr>
      </w:pPr>
      <w:r>
        <w:rPr>
          <w:iCs/>
        </w:rPr>
        <w:t>L</w:t>
      </w:r>
      <w:r w:rsidR="00CE2890">
        <w:rPr>
          <w:iCs/>
        </w:rPr>
        <w:t>ogiciel GeoGebra</w:t>
      </w:r>
      <w:r w:rsidR="00094644">
        <w:rPr>
          <w:iCs/>
        </w:rPr>
        <w:t xml:space="preserve"> 6 classique</w:t>
      </w:r>
    </w:p>
    <w:p w:rsidR="00C001DB" w:rsidRPr="008E4746" w:rsidRDefault="00C001DB">
      <w:pPr>
        <w:rPr>
          <w:iCs/>
        </w:rPr>
      </w:pPr>
    </w:p>
    <w:p w:rsidR="00A45463" w:rsidRPr="005D31F3" w:rsidRDefault="00783E4C" w:rsidP="00A45463">
      <w:pPr>
        <w:rPr>
          <w:b/>
          <w:u w:val="single"/>
        </w:rPr>
      </w:pPr>
      <w:r w:rsidRPr="00A45463">
        <w:rPr>
          <w:b/>
          <w:u w:val="single"/>
        </w:rPr>
        <w:t xml:space="preserve">• </w:t>
      </w:r>
      <w:r w:rsidR="00A45463" w:rsidRPr="00A45463">
        <w:rPr>
          <w:b/>
          <w:u w:val="single"/>
        </w:rPr>
        <w:t>Ressources finales produites :</w:t>
      </w:r>
    </w:p>
    <w:p w:rsidR="00094644" w:rsidRDefault="00CE2890" w:rsidP="00A45463">
      <w:pPr>
        <w:rPr>
          <w:iCs/>
        </w:rPr>
      </w:pPr>
      <w:r>
        <w:rPr>
          <w:iCs/>
        </w:rPr>
        <w:t>Un</w:t>
      </w:r>
      <w:r w:rsidR="00094644">
        <w:rPr>
          <w:iCs/>
        </w:rPr>
        <w:t xml:space="preserve"> compte-rendu de l’activité avec une</w:t>
      </w:r>
      <w:r>
        <w:rPr>
          <w:iCs/>
        </w:rPr>
        <w:t xml:space="preserve"> </w:t>
      </w:r>
      <w:r w:rsidR="00094644">
        <w:rPr>
          <w:iCs/>
        </w:rPr>
        <w:t>construction géométrique et l’expression de la 2</w:t>
      </w:r>
      <w:r w:rsidR="00094644" w:rsidRPr="00094644">
        <w:rPr>
          <w:iCs/>
          <w:vertAlign w:val="superscript"/>
        </w:rPr>
        <w:t>e</w:t>
      </w:r>
      <w:r w:rsidR="00094644">
        <w:rPr>
          <w:iCs/>
        </w:rPr>
        <w:t xml:space="preserve"> loi de Snell-Descartes retrouvée.</w:t>
      </w:r>
    </w:p>
    <w:p w:rsidR="00FC2C97" w:rsidRPr="008E4746" w:rsidRDefault="00FC2C97" w:rsidP="008E4746">
      <w:pPr>
        <w:rPr>
          <w:iCs/>
        </w:rPr>
      </w:pPr>
    </w:p>
    <w:p w:rsidR="00DF6170" w:rsidRPr="000302BA" w:rsidRDefault="00783E4C" w:rsidP="00DF6170">
      <w:pPr>
        <w:rPr>
          <w:b/>
          <w:u w:val="single"/>
        </w:rPr>
      </w:pPr>
      <w:r>
        <w:rPr>
          <w:b/>
          <w:u w:val="single"/>
        </w:rPr>
        <w:t xml:space="preserve">•  </w:t>
      </w:r>
      <w:r w:rsidR="000302BA">
        <w:rPr>
          <w:b/>
          <w:u w:val="single"/>
        </w:rPr>
        <w:t>Le plan de travail détaillé</w:t>
      </w:r>
      <w:r w:rsidR="00DF6170" w:rsidRPr="000302BA">
        <w:rPr>
          <w:b/>
          <w:u w:val="single"/>
        </w:rPr>
        <w:t xml:space="preserve"> : </w:t>
      </w:r>
    </w:p>
    <w:p w:rsidR="0020133B" w:rsidRDefault="0020133B" w:rsidP="00CE2890">
      <w:pPr>
        <w:spacing w:line="240" w:lineRule="auto"/>
        <w:rPr>
          <w:b/>
        </w:rPr>
      </w:pPr>
    </w:p>
    <w:p w:rsidR="00CE2890" w:rsidRDefault="00AB4B61" w:rsidP="00CE2890">
      <w:pPr>
        <w:spacing w:line="240" w:lineRule="auto"/>
        <w:rPr>
          <w:b/>
        </w:rPr>
      </w:pPr>
      <w:r>
        <w:rPr>
          <w:b/>
        </w:rPr>
        <w:t>2</w:t>
      </w:r>
      <w:r w:rsidR="00CE2890">
        <w:rPr>
          <w:b/>
        </w:rPr>
        <w:t xml:space="preserve"> scénarios possibles :</w:t>
      </w:r>
    </w:p>
    <w:p w:rsidR="00094644" w:rsidRDefault="00094644" w:rsidP="00CE2890">
      <w:pPr>
        <w:spacing w:line="240" w:lineRule="auto"/>
        <w:rPr>
          <w:b/>
        </w:rPr>
      </w:pPr>
    </w:p>
    <w:p w:rsidR="00094644" w:rsidRPr="00094644" w:rsidRDefault="00094644" w:rsidP="00094644">
      <w:pPr>
        <w:pStyle w:val="Paragraphedeliste"/>
        <w:spacing w:after="0" w:line="240" w:lineRule="auto"/>
        <w:ind w:left="0"/>
        <w:jc w:val="both"/>
        <w:rPr>
          <w:b/>
          <w:sz w:val="24"/>
          <w:szCs w:val="24"/>
        </w:rPr>
      </w:pPr>
      <w:r>
        <w:rPr>
          <w:b/>
        </w:rPr>
        <w:t xml:space="preserve">Partie commune : les élèves disposent </w:t>
      </w:r>
      <w:r>
        <w:rPr>
          <w:sz w:val="24"/>
          <w:szCs w:val="24"/>
        </w:rPr>
        <w:t>de documents (liste du matériel à disposition, des données sur les indices, un dessin d’époque d’une construction géométrique de Descartes) et d’une fiche de travail à effectuer pour réaliser la mission (</w:t>
      </w:r>
      <w:r w:rsidR="00520558">
        <w:rPr>
          <w:sz w:val="24"/>
          <w:szCs w:val="24"/>
        </w:rPr>
        <w:t xml:space="preserve">modalités et aides </w:t>
      </w:r>
      <w:r>
        <w:rPr>
          <w:sz w:val="24"/>
          <w:szCs w:val="24"/>
        </w:rPr>
        <w:t>différente</w:t>
      </w:r>
      <w:r w:rsidR="00520558">
        <w:rPr>
          <w:sz w:val="24"/>
          <w:szCs w:val="24"/>
        </w:rPr>
        <w:t>s</w:t>
      </w:r>
      <w:r>
        <w:rPr>
          <w:sz w:val="24"/>
          <w:szCs w:val="24"/>
        </w:rPr>
        <w:t xml:space="preserve"> selon le niveau choisi). Ils réalisent une mesure sur leur dispositif expérimental. </w:t>
      </w:r>
    </w:p>
    <w:p w:rsidR="004D0418" w:rsidRDefault="004D0418" w:rsidP="00CE2890">
      <w:pPr>
        <w:spacing w:line="240" w:lineRule="auto"/>
        <w:rPr>
          <w:b/>
        </w:rPr>
      </w:pPr>
    </w:p>
    <w:p w:rsidR="004D0418" w:rsidRDefault="004D0418" w:rsidP="00CE2890">
      <w:pPr>
        <w:spacing w:line="240" w:lineRule="auto"/>
        <w:rPr>
          <w:b/>
        </w:rPr>
      </w:pPr>
    </w:p>
    <w:p w:rsidR="0007334C" w:rsidRPr="00AB4B61" w:rsidRDefault="005D31F3" w:rsidP="00CE2890">
      <w:pPr>
        <w:spacing w:line="240" w:lineRule="auto"/>
        <w:rPr>
          <w:b/>
        </w:rPr>
      </w:pPr>
      <w:r>
        <w:rPr>
          <w:b/>
        </w:rPr>
        <w:lastRenderedPageBreak/>
        <w:t>Puis :</w:t>
      </w:r>
    </w:p>
    <w:p w:rsidR="00CE2890" w:rsidRPr="00436709" w:rsidRDefault="00CE2890" w:rsidP="00CE2890">
      <w:pPr>
        <w:spacing w:line="240" w:lineRule="auto"/>
      </w:pPr>
      <w:r w:rsidRPr="00DF2156">
        <w:rPr>
          <w:b/>
          <w:u w:val="single"/>
        </w:rPr>
        <w:t>- niveau</w:t>
      </w:r>
      <w:r w:rsidR="00AB4B61">
        <w:rPr>
          <w:b/>
          <w:u w:val="single"/>
        </w:rPr>
        <w:t xml:space="preserve"> 1</w:t>
      </w:r>
      <w:r>
        <w:rPr>
          <w:b/>
        </w:rPr>
        <w:t> : les él</w:t>
      </w:r>
      <w:r w:rsidR="00436709">
        <w:rPr>
          <w:b/>
        </w:rPr>
        <w:t xml:space="preserve">èves </w:t>
      </w:r>
      <w:r w:rsidR="006912C9">
        <w:rPr>
          <w:b/>
        </w:rPr>
        <w:t xml:space="preserve">connaissent </w:t>
      </w:r>
      <w:r w:rsidR="00436709">
        <w:rPr>
          <w:b/>
        </w:rPr>
        <w:t>peu ou pas</w:t>
      </w:r>
      <w:r w:rsidR="006912C9">
        <w:rPr>
          <w:b/>
        </w:rPr>
        <w:t xml:space="preserve"> encore GeoG</w:t>
      </w:r>
      <w:r>
        <w:rPr>
          <w:b/>
        </w:rPr>
        <w:t xml:space="preserve">ebra et font l’activité en partant d’un fichier </w:t>
      </w:r>
      <w:r w:rsidR="006912C9">
        <w:rPr>
          <w:b/>
        </w:rPr>
        <w:t>GeoGebra</w:t>
      </w:r>
      <w:r>
        <w:rPr>
          <w:b/>
        </w:rPr>
        <w:t xml:space="preserve"> qui contient déjà une partie de la construction, pour se focaliser sur la partie qui permet de retrouver la loi. </w:t>
      </w:r>
      <w:r w:rsidRPr="00436709">
        <w:t>L’intérêt de la construction proposée est qu’elle leur permet, en modifiant les paramètres</w:t>
      </w:r>
      <w:r w:rsidR="00520558">
        <w:t>,</w:t>
      </w:r>
      <w:r w:rsidRPr="00436709">
        <w:t xml:space="preserve"> de modéliser plusieurs situations possibles à la suite, en peu de temps</w:t>
      </w:r>
      <w:r w:rsidR="00520558">
        <w:t>.</w:t>
      </w:r>
    </w:p>
    <w:p w:rsidR="00CE2890" w:rsidRPr="003A6044" w:rsidRDefault="00436709" w:rsidP="00CE2890">
      <w:pPr>
        <w:spacing w:line="240" w:lineRule="auto"/>
        <w:rPr>
          <w:i/>
          <w:color w:val="0070C0"/>
        </w:rPr>
      </w:pPr>
      <w:r w:rsidRPr="00436709">
        <w:t>Documents :</w:t>
      </w:r>
      <w:r>
        <w:rPr>
          <w:b/>
        </w:rPr>
        <w:t xml:space="preserve"> </w:t>
      </w:r>
      <w:r>
        <w:rPr>
          <w:i/>
          <w:color w:val="0070C0"/>
        </w:rPr>
        <w:t>« D</w:t>
      </w:r>
      <w:r w:rsidR="00CE2890" w:rsidRPr="003A6044">
        <w:rPr>
          <w:i/>
          <w:color w:val="0070C0"/>
        </w:rPr>
        <w:t>escartes</w:t>
      </w:r>
      <w:r w:rsidR="00CE2890">
        <w:rPr>
          <w:i/>
          <w:color w:val="0070C0"/>
        </w:rPr>
        <w:t xml:space="preserve">-fiche </w:t>
      </w:r>
      <w:proofErr w:type="spellStart"/>
      <w:r w:rsidR="00CE2890">
        <w:rPr>
          <w:i/>
          <w:color w:val="0070C0"/>
        </w:rPr>
        <w:t>eleve</w:t>
      </w:r>
      <w:proofErr w:type="spellEnd"/>
      <w:r w:rsidR="00CE2890">
        <w:rPr>
          <w:i/>
          <w:color w:val="0070C0"/>
        </w:rPr>
        <w:t xml:space="preserve"> niveau</w:t>
      </w:r>
      <w:r w:rsidR="00AB4B61">
        <w:rPr>
          <w:i/>
          <w:color w:val="0070C0"/>
        </w:rPr>
        <w:t>1</w:t>
      </w:r>
      <w:r w:rsidR="00CE2890" w:rsidRPr="003A6044">
        <w:rPr>
          <w:i/>
          <w:color w:val="0070C0"/>
        </w:rPr>
        <w:t>.docx »</w:t>
      </w:r>
    </w:p>
    <w:p w:rsidR="00CE2890" w:rsidRDefault="00436709" w:rsidP="00CE2890">
      <w:pPr>
        <w:spacing w:line="240" w:lineRule="auto"/>
        <w:rPr>
          <w:i/>
          <w:color w:val="0070C0"/>
        </w:rPr>
      </w:pPr>
      <w:r>
        <w:rPr>
          <w:i/>
          <w:color w:val="0070C0"/>
        </w:rPr>
        <w:t xml:space="preserve">+ fichier </w:t>
      </w:r>
      <w:proofErr w:type="spellStart"/>
      <w:r>
        <w:rPr>
          <w:i/>
          <w:color w:val="0070C0"/>
        </w:rPr>
        <w:t>geogébra</w:t>
      </w:r>
      <w:proofErr w:type="spellEnd"/>
      <w:r>
        <w:rPr>
          <w:i/>
          <w:color w:val="0070C0"/>
        </w:rPr>
        <w:t xml:space="preserve"> « </w:t>
      </w:r>
      <w:proofErr w:type="spellStart"/>
      <w:r>
        <w:rPr>
          <w:i/>
          <w:color w:val="0070C0"/>
        </w:rPr>
        <w:t>D</w:t>
      </w:r>
      <w:r w:rsidR="00CE2890" w:rsidRPr="003A6044">
        <w:rPr>
          <w:i/>
          <w:color w:val="0070C0"/>
        </w:rPr>
        <w:t>escartes_base_eleve</w:t>
      </w:r>
      <w:proofErr w:type="spellEnd"/>
      <w:r w:rsidR="00CE2890">
        <w:rPr>
          <w:i/>
          <w:color w:val="0070C0"/>
        </w:rPr>
        <w:t xml:space="preserve"> niveau</w:t>
      </w:r>
      <w:r w:rsidR="00AB4B61">
        <w:rPr>
          <w:i/>
          <w:color w:val="0070C0"/>
        </w:rPr>
        <w:t>1</w:t>
      </w:r>
      <w:r w:rsidR="00CE2890" w:rsidRPr="003A6044">
        <w:rPr>
          <w:i/>
          <w:color w:val="0070C0"/>
        </w:rPr>
        <w:t>.ggb »</w:t>
      </w:r>
    </w:p>
    <w:p w:rsidR="0007334C" w:rsidRPr="00436709" w:rsidRDefault="0007334C" w:rsidP="0007334C">
      <w:pPr>
        <w:spacing w:line="240" w:lineRule="auto"/>
        <w:rPr>
          <w:b/>
        </w:rPr>
      </w:pPr>
      <w:proofErr w:type="gramStart"/>
      <w:r>
        <w:rPr>
          <w:i/>
          <w:color w:val="0070C0"/>
        </w:rPr>
        <w:t>et</w:t>
      </w:r>
      <w:proofErr w:type="gramEnd"/>
      <w:r>
        <w:rPr>
          <w:i/>
          <w:color w:val="0070C0"/>
        </w:rPr>
        <w:t xml:space="preserve"> « PENSE PAS BETE POUR GEOGEBRA 6.docx »</w:t>
      </w:r>
      <w:r w:rsidRPr="003A6044">
        <w:rPr>
          <w:i/>
          <w:color w:val="0070C0"/>
        </w:rPr>
        <w:t xml:space="preserve"> </w:t>
      </w:r>
    </w:p>
    <w:p w:rsidR="00CE2890" w:rsidRDefault="0007334C" w:rsidP="00CE2890">
      <w:pPr>
        <w:spacing w:line="240" w:lineRule="auto"/>
        <w:rPr>
          <w:i/>
          <w:color w:val="0070C0"/>
        </w:rPr>
      </w:pPr>
      <w:r w:rsidRPr="0007334C">
        <w:t>Le fichier</w:t>
      </w:r>
      <w:r>
        <w:rPr>
          <w:b/>
        </w:rPr>
        <w:t xml:space="preserve"> </w:t>
      </w:r>
      <w:r>
        <w:rPr>
          <w:i/>
          <w:color w:val="0070C0"/>
        </w:rPr>
        <w:t>« D</w:t>
      </w:r>
      <w:r w:rsidRPr="003A6044">
        <w:rPr>
          <w:i/>
          <w:color w:val="0070C0"/>
        </w:rPr>
        <w:t>escartes</w:t>
      </w:r>
      <w:r>
        <w:rPr>
          <w:i/>
          <w:color w:val="0070C0"/>
        </w:rPr>
        <w:t xml:space="preserve">-fiche </w:t>
      </w:r>
      <w:proofErr w:type="spellStart"/>
      <w:r>
        <w:rPr>
          <w:i/>
          <w:color w:val="0070C0"/>
        </w:rPr>
        <w:t>eleve</w:t>
      </w:r>
      <w:proofErr w:type="spellEnd"/>
      <w:r>
        <w:rPr>
          <w:i/>
          <w:color w:val="0070C0"/>
        </w:rPr>
        <w:t xml:space="preserve"> niveau</w:t>
      </w:r>
      <w:r w:rsidR="00AB4B61">
        <w:rPr>
          <w:i/>
          <w:color w:val="0070C0"/>
        </w:rPr>
        <w:t>1</w:t>
      </w:r>
      <w:r>
        <w:rPr>
          <w:i/>
          <w:color w:val="0070C0"/>
        </w:rPr>
        <w:t>-aides geogebra</w:t>
      </w:r>
      <w:r w:rsidRPr="003A6044">
        <w:rPr>
          <w:i/>
          <w:color w:val="0070C0"/>
        </w:rPr>
        <w:t>.docx »</w:t>
      </w:r>
      <w:r>
        <w:rPr>
          <w:i/>
          <w:color w:val="0070C0"/>
        </w:rPr>
        <w:t xml:space="preserve"> contient des aides partielles pour l’utilisation du logiciel, que le professeur peut fournir selon les besoins.</w:t>
      </w:r>
    </w:p>
    <w:p w:rsidR="0007334C" w:rsidRDefault="0007334C" w:rsidP="00CE2890">
      <w:pPr>
        <w:spacing w:line="240" w:lineRule="auto"/>
        <w:rPr>
          <w:b/>
        </w:rPr>
      </w:pPr>
    </w:p>
    <w:p w:rsidR="002C7008" w:rsidRDefault="00CE2890" w:rsidP="00CE2890">
      <w:pPr>
        <w:spacing w:line="240" w:lineRule="auto"/>
        <w:rPr>
          <w:b/>
        </w:rPr>
      </w:pPr>
      <w:r w:rsidRPr="00DF2156">
        <w:rPr>
          <w:b/>
          <w:u w:val="single"/>
        </w:rPr>
        <w:t xml:space="preserve">- niveau </w:t>
      </w:r>
      <w:r w:rsidR="00AB4B61">
        <w:rPr>
          <w:b/>
          <w:u w:val="single"/>
        </w:rPr>
        <w:t>2</w:t>
      </w:r>
      <w:r w:rsidR="002C7008">
        <w:rPr>
          <w:b/>
        </w:rPr>
        <w:t> : les élèves maî</w:t>
      </w:r>
      <w:r>
        <w:rPr>
          <w:b/>
        </w:rPr>
        <w:t xml:space="preserve">trisent bien </w:t>
      </w:r>
      <w:r w:rsidR="006912C9">
        <w:rPr>
          <w:b/>
        </w:rPr>
        <w:t>GeoGebra</w:t>
      </w:r>
      <w:r>
        <w:rPr>
          <w:b/>
        </w:rPr>
        <w:t xml:space="preserve"> et font la construction complète sur </w:t>
      </w:r>
      <w:r w:rsidR="006912C9">
        <w:rPr>
          <w:b/>
        </w:rPr>
        <w:t>GeoGebra</w:t>
      </w:r>
      <w:r>
        <w:rPr>
          <w:b/>
        </w:rPr>
        <w:t xml:space="preserve">, en fonction de leurs connaissances du logiciel, pour retrouver la loi. </w:t>
      </w:r>
    </w:p>
    <w:p w:rsidR="00CE2890" w:rsidRPr="005D31F3" w:rsidRDefault="00CE2890" w:rsidP="00CE2890">
      <w:pPr>
        <w:spacing w:line="240" w:lineRule="auto"/>
      </w:pPr>
      <w:r w:rsidRPr="005D31F3">
        <w:t xml:space="preserve">Les élèves sont peu guidés. </w:t>
      </w:r>
    </w:p>
    <w:p w:rsidR="00455369" w:rsidRPr="00460CDB" w:rsidRDefault="005D31F3" w:rsidP="00455369">
      <w:pPr>
        <w:spacing w:line="240" w:lineRule="auto"/>
        <w:rPr>
          <w:b/>
          <w:i/>
          <w:color w:val="0070C0"/>
        </w:rPr>
      </w:pPr>
      <w:r w:rsidRPr="00436709">
        <w:t>Documents :</w:t>
      </w:r>
      <w:r>
        <w:rPr>
          <w:b/>
        </w:rPr>
        <w:t xml:space="preserve"> </w:t>
      </w:r>
      <w:r>
        <w:rPr>
          <w:i/>
          <w:color w:val="0070C0"/>
        </w:rPr>
        <w:t>« D</w:t>
      </w:r>
      <w:r w:rsidR="00CE2890" w:rsidRPr="003A6044">
        <w:rPr>
          <w:i/>
          <w:color w:val="0070C0"/>
        </w:rPr>
        <w:t>escartes</w:t>
      </w:r>
      <w:r w:rsidR="00CE2890">
        <w:rPr>
          <w:i/>
          <w:color w:val="0070C0"/>
        </w:rPr>
        <w:t xml:space="preserve">-fiche </w:t>
      </w:r>
      <w:proofErr w:type="spellStart"/>
      <w:r w:rsidR="00CE2890">
        <w:rPr>
          <w:i/>
          <w:color w:val="0070C0"/>
        </w:rPr>
        <w:t>eleve</w:t>
      </w:r>
      <w:proofErr w:type="spellEnd"/>
      <w:r w:rsidR="00CE2890">
        <w:rPr>
          <w:i/>
          <w:color w:val="0070C0"/>
        </w:rPr>
        <w:t xml:space="preserve"> niveau</w:t>
      </w:r>
      <w:r w:rsidR="00AB4B61">
        <w:rPr>
          <w:i/>
          <w:color w:val="0070C0"/>
        </w:rPr>
        <w:t>2</w:t>
      </w:r>
      <w:r w:rsidR="00CE2890" w:rsidRPr="003A6044">
        <w:rPr>
          <w:i/>
          <w:color w:val="0070C0"/>
        </w:rPr>
        <w:t>.docx »</w:t>
      </w:r>
    </w:p>
    <w:p w:rsidR="0007334C" w:rsidRPr="00436709" w:rsidRDefault="0007334C" w:rsidP="0007334C">
      <w:pPr>
        <w:spacing w:line="240" w:lineRule="auto"/>
        <w:rPr>
          <w:b/>
        </w:rPr>
      </w:pPr>
      <w:proofErr w:type="gramStart"/>
      <w:r>
        <w:rPr>
          <w:i/>
          <w:color w:val="0070C0"/>
        </w:rPr>
        <w:t>et</w:t>
      </w:r>
      <w:proofErr w:type="gramEnd"/>
      <w:r>
        <w:rPr>
          <w:i/>
          <w:color w:val="0070C0"/>
        </w:rPr>
        <w:t xml:space="preserve"> éventuellement « PENSE PAS BETE POUR GEOGEBRA 6.docx »</w:t>
      </w:r>
      <w:r w:rsidRPr="003A6044">
        <w:rPr>
          <w:i/>
          <w:color w:val="0070C0"/>
        </w:rPr>
        <w:t xml:space="preserve"> </w:t>
      </w:r>
    </w:p>
    <w:p w:rsidR="0007334C" w:rsidRPr="002C5407" w:rsidRDefault="0007334C">
      <w:pPr>
        <w:spacing w:line="240" w:lineRule="auto"/>
        <w:rPr>
          <w:b/>
          <w:color w:val="C00000"/>
          <w:sz w:val="28"/>
        </w:rPr>
      </w:pPr>
    </w:p>
    <w:p w:rsidR="00455369" w:rsidRPr="002C5407" w:rsidRDefault="00455369" w:rsidP="00455369">
      <w:pPr>
        <w:spacing w:line="240" w:lineRule="auto"/>
        <w:rPr>
          <w:b/>
          <w:color w:val="C00000"/>
          <w:sz w:val="28"/>
        </w:rPr>
      </w:pPr>
      <w:r w:rsidRPr="002C5407">
        <w:rPr>
          <w:b/>
          <w:color w:val="C00000"/>
          <w:sz w:val="28"/>
        </w:rPr>
        <w:t>Proposition d’organisation de l’activité</w:t>
      </w:r>
      <w:r>
        <w:rPr>
          <w:b/>
          <w:color w:val="C00000"/>
          <w:sz w:val="28"/>
        </w:rPr>
        <w:t xml:space="preserve"> (modulable selon le niveau choisi)</w:t>
      </w:r>
      <w:r w:rsidRPr="002C5407">
        <w:rPr>
          <w:b/>
          <w:color w:val="C00000"/>
          <w:sz w:val="28"/>
        </w:rPr>
        <w:t xml:space="preserve"> :  </w:t>
      </w:r>
    </w:p>
    <w:p w:rsidR="00455369" w:rsidRDefault="00455369" w:rsidP="00455369">
      <w:pPr>
        <w:spacing w:line="240" w:lineRule="auto"/>
      </w:pPr>
    </w:p>
    <w:p w:rsidR="00455369" w:rsidRDefault="00455369" w:rsidP="00455369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Lecture du document et aspect historique.</w:t>
      </w:r>
      <w:r w:rsidRPr="007B0A99">
        <w:rPr>
          <w:sz w:val="24"/>
          <w:szCs w:val="24"/>
        </w:rPr>
        <w:t xml:space="preserve"> </w:t>
      </w:r>
      <w:r>
        <w:rPr>
          <w:sz w:val="24"/>
          <w:szCs w:val="24"/>
        </w:rPr>
        <w:t>(15 min)</w:t>
      </w:r>
    </w:p>
    <w:p w:rsidR="00455369" w:rsidRDefault="00455369" w:rsidP="00455369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Dans un premier temps les élèves effectuent une mesure. (15 min) </w:t>
      </w:r>
    </w:p>
    <w:p w:rsidR="00455369" w:rsidRDefault="00455369" w:rsidP="00455369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 partir de leur mesure ils réalisent une construction géométrique. (20 min)</w:t>
      </w:r>
    </w:p>
    <w:p w:rsidR="00455369" w:rsidRDefault="00455369" w:rsidP="00455369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Ils établissent la loi de la réfraction à l’aide de leur construction et de leurs acquis mathématiques. (20 min)</w:t>
      </w:r>
    </w:p>
    <w:p w:rsidR="00455369" w:rsidRDefault="00455369" w:rsidP="00455369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Ils valident la loi par des mesures supplémentaires. (15min)</w:t>
      </w:r>
    </w:p>
    <w:p w:rsidR="00455369" w:rsidRDefault="00455369" w:rsidP="00455369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Possibilité d’établir la loi par une mesure dans le cas où le milieu 2 a un indice de réfraction égal à 1,00. (20 min) (niveau confirmé) </w:t>
      </w:r>
    </w:p>
    <w:p w:rsidR="00455369" w:rsidRDefault="00455369" w:rsidP="00455369">
      <w:pPr>
        <w:pStyle w:val="Paragraphedeliste"/>
        <w:numPr>
          <w:ilvl w:val="0"/>
          <w:numId w:val="1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Possibilité de généraliser la loi dans le cas quelconque ou les deux milieux ont un indice de réfraction différent de 1,00. (10min) (niveau expert)</w:t>
      </w:r>
    </w:p>
    <w:p w:rsidR="00455369" w:rsidRDefault="00455369" w:rsidP="00455369">
      <w:pPr>
        <w:spacing w:line="240" w:lineRule="auto"/>
        <w:rPr>
          <w:b/>
          <w:color w:val="C00000"/>
          <w:sz w:val="28"/>
        </w:rPr>
      </w:pPr>
    </w:p>
    <w:p w:rsidR="00A45463" w:rsidRDefault="00A45463" w:rsidP="00A45463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• Les apports</w:t>
      </w:r>
      <w:r w:rsidR="004D0418">
        <w:rPr>
          <w:b/>
          <w:u w:val="single"/>
        </w:rPr>
        <w:t xml:space="preserve"> </w:t>
      </w:r>
      <w:r w:rsidRPr="008E4746">
        <w:t>:</w:t>
      </w:r>
      <w:r w:rsidR="00191E7B">
        <w:t xml:space="preserve"> une modularité et une différen</w:t>
      </w:r>
      <w:r w:rsidR="006B3D90">
        <w:t>c</w:t>
      </w:r>
      <w:r w:rsidR="00191E7B">
        <w:t>iation possibles selon les niveaux des élèves.</w:t>
      </w:r>
    </w:p>
    <w:p w:rsidR="00A45463" w:rsidRPr="008E4746" w:rsidRDefault="00A45463" w:rsidP="00A45463">
      <w:pPr>
        <w:rPr>
          <w:iCs/>
        </w:rPr>
      </w:pPr>
    </w:p>
    <w:p w:rsidR="00A45463" w:rsidRDefault="00A45463" w:rsidP="00A45463">
      <w:r w:rsidRPr="00A45463">
        <w:rPr>
          <w:b/>
          <w:u w:val="single"/>
        </w:rPr>
        <w:t xml:space="preserve">• </w:t>
      </w:r>
      <w:r>
        <w:rPr>
          <w:b/>
          <w:u w:val="single"/>
        </w:rPr>
        <w:t>Les freins</w:t>
      </w:r>
      <w:r w:rsidR="004D0418">
        <w:rPr>
          <w:b/>
          <w:u w:val="single"/>
        </w:rPr>
        <w:t xml:space="preserve"> </w:t>
      </w:r>
      <w:r w:rsidRPr="008E4746">
        <w:t>:</w:t>
      </w:r>
    </w:p>
    <w:p w:rsidR="003F2FF4" w:rsidRPr="008E4746" w:rsidRDefault="003F2FF4" w:rsidP="00A45463">
      <w:r>
        <w:t xml:space="preserve">Activité qui peut avoir du mal à tenir sur un créneau </w:t>
      </w:r>
      <w:r w:rsidR="004057AD">
        <w:t>d’Activité Expérimentale.</w:t>
      </w:r>
      <w:r w:rsidR="00191E7B">
        <w:t xml:space="preserve"> On peut le faire sur deux séances d’accompagnement personnalisé aussi.</w:t>
      </w:r>
    </w:p>
    <w:p w:rsidR="00A45463" w:rsidRPr="008E4746" w:rsidRDefault="00A45463" w:rsidP="00A45463">
      <w:pPr>
        <w:rPr>
          <w:iCs/>
        </w:rPr>
      </w:pPr>
    </w:p>
    <w:p w:rsidR="00A45463" w:rsidRDefault="00A45463" w:rsidP="00A45463">
      <w:pPr>
        <w:rPr>
          <w:b/>
          <w:u w:val="single"/>
        </w:rPr>
      </w:pPr>
      <w:r>
        <w:rPr>
          <w:b/>
          <w:u w:val="single"/>
        </w:rPr>
        <w:t>• Les pistes :</w:t>
      </w:r>
    </w:p>
    <w:p w:rsidR="00624DDE" w:rsidRPr="008E4746" w:rsidRDefault="003F2FF4">
      <w:pPr>
        <w:rPr>
          <w:iCs/>
        </w:rPr>
      </w:pPr>
      <w:r>
        <w:rPr>
          <w:iCs/>
        </w:rPr>
        <w:t xml:space="preserve">L’enseignant peut déplacer la partie « mesure » lors du cours précédent : </w:t>
      </w:r>
      <w:r w:rsidR="009D4B54">
        <w:rPr>
          <w:iCs/>
        </w:rPr>
        <w:t>il peut</w:t>
      </w:r>
      <w:r w:rsidR="00191E7B">
        <w:rPr>
          <w:iCs/>
        </w:rPr>
        <w:t xml:space="preserve"> prendre une photo d’un dispositif laser + cuve à eau ou laser + plexiglas et faire une première mesure de l’angle d’incidence i1</w:t>
      </w:r>
      <w:r w:rsidR="009D4B54">
        <w:rPr>
          <w:iCs/>
        </w:rPr>
        <w:t xml:space="preserve"> (</w:t>
      </w:r>
      <w:r w:rsidR="00191E7B">
        <w:rPr>
          <w:iCs/>
        </w:rPr>
        <w:t>dans le milieu air</w:t>
      </w:r>
      <w:r w:rsidR="009D4B54">
        <w:rPr>
          <w:iCs/>
        </w:rPr>
        <w:t>)</w:t>
      </w:r>
      <w:r w:rsidR="00191E7B">
        <w:rPr>
          <w:iCs/>
        </w:rPr>
        <w:t xml:space="preserve"> et de l’</w:t>
      </w:r>
      <w:r w:rsidR="009D4B54">
        <w:rPr>
          <w:iCs/>
        </w:rPr>
        <w:t>angle de réfraction i2</w:t>
      </w:r>
      <w:r w:rsidR="006B3D90">
        <w:rPr>
          <w:iCs/>
        </w:rPr>
        <w:t>,</w:t>
      </w:r>
      <w:r w:rsidR="009D4B54">
        <w:rPr>
          <w:iCs/>
        </w:rPr>
        <w:t xml:space="preserve"> en</w:t>
      </w:r>
      <w:r w:rsidR="00191E7B">
        <w:rPr>
          <w:iCs/>
        </w:rPr>
        <w:t xml:space="preserve"> introdui</w:t>
      </w:r>
      <w:r w:rsidR="009D4B54">
        <w:rPr>
          <w:iCs/>
        </w:rPr>
        <w:t>sant</w:t>
      </w:r>
      <w:r w:rsidR="00191E7B">
        <w:rPr>
          <w:iCs/>
        </w:rPr>
        <w:t xml:space="preserve"> le vocabulaire</w:t>
      </w:r>
      <w:r w:rsidR="009D4B54">
        <w:rPr>
          <w:iCs/>
        </w:rPr>
        <w:t xml:space="preserve"> scientifique correspondant</w:t>
      </w:r>
      <w:r w:rsidR="00191E7B">
        <w:rPr>
          <w:iCs/>
        </w:rPr>
        <w:t>. Ces deux valeurs servent alors de premier couple de données pour la simulation réalisée</w:t>
      </w:r>
      <w:r w:rsidR="009D4B54">
        <w:rPr>
          <w:iCs/>
        </w:rPr>
        <w:t>.</w:t>
      </w:r>
      <w:r w:rsidR="00191E7B">
        <w:rPr>
          <w:iCs/>
        </w:rPr>
        <w:t xml:space="preserve"> </w:t>
      </w:r>
    </w:p>
    <w:sectPr w:rsidR="00624DDE" w:rsidRPr="008E4746" w:rsidSect="00BA76FC">
      <w:footerReference w:type="even" r:id="rId8"/>
      <w:pgSz w:w="11906" w:h="16838" w:code="9"/>
      <w:pgMar w:top="1440" w:right="1080" w:bottom="851" w:left="1080" w:header="708" w:footer="88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585" w:rsidRDefault="00A26585">
      <w:pPr>
        <w:spacing w:line="240" w:lineRule="auto"/>
      </w:pPr>
      <w:r>
        <w:separator/>
      </w:r>
    </w:p>
  </w:endnote>
  <w:endnote w:type="continuationSeparator" w:id="0">
    <w:p w:rsidR="00A26585" w:rsidRDefault="00A26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∞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76FC" w:rsidRDefault="00BA76FC">
    <w:pPr>
      <w:pStyle w:val="Pieddepag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8611C">
      <w:rPr>
        <w:noProof/>
      </w:rPr>
      <w:t>2</w:t>
    </w:r>
    <w:r>
      <w:fldChar w:fldCharType="end"/>
    </w:r>
  </w:p>
  <w:p w:rsidR="00BA76FC" w:rsidRDefault="00BA76F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585" w:rsidRDefault="00A26585">
      <w:pPr>
        <w:spacing w:line="240" w:lineRule="auto"/>
      </w:pPr>
      <w:r>
        <w:separator/>
      </w:r>
    </w:p>
  </w:footnote>
  <w:footnote w:type="continuationSeparator" w:id="0">
    <w:p w:rsidR="00A26585" w:rsidRDefault="00A265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A24D3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403C85"/>
    <w:multiLevelType w:val="hybridMultilevel"/>
    <w:tmpl w:val="D930C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37504"/>
    <w:multiLevelType w:val="hybridMultilevel"/>
    <w:tmpl w:val="CEF06E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34FC4"/>
    <w:multiLevelType w:val="hybridMultilevel"/>
    <w:tmpl w:val="C504E492"/>
    <w:lvl w:ilvl="0" w:tplc="FD9C0784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E5A8A"/>
    <w:multiLevelType w:val="hybridMultilevel"/>
    <w:tmpl w:val="6B20185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E2237"/>
    <w:multiLevelType w:val="hybridMultilevel"/>
    <w:tmpl w:val="800EFAC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0BE4700"/>
    <w:multiLevelType w:val="hybridMultilevel"/>
    <w:tmpl w:val="050A8908"/>
    <w:lvl w:ilvl="0" w:tplc="D3E8FC6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7341C"/>
    <w:multiLevelType w:val="hybridMultilevel"/>
    <w:tmpl w:val="9B36F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EE141C"/>
    <w:multiLevelType w:val="hybridMultilevel"/>
    <w:tmpl w:val="CA2457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7"/>
  </w:num>
  <w:num w:numId="10">
    <w:abstractNumId w:val="8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F6"/>
    <w:rsid w:val="000250D2"/>
    <w:rsid w:val="000254C5"/>
    <w:rsid w:val="000302BA"/>
    <w:rsid w:val="0003308F"/>
    <w:rsid w:val="00034FD7"/>
    <w:rsid w:val="0003792C"/>
    <w:rsid w:val="000425B6"/>
    <w:rsid w:val="000575A3"/>
    <w:rsid w:val="0007334C"/>
    <w:rsid w:val="00094644"/>
    <w:rsid w:val="000E3BDA"/>
    <w:rsid w:val="000F316F"/>
    <w:rsid w:val="000F5B72"/>
    <w:rsid w:val="001232A8"/>
    <w:rsid w:val="00147F3D"/>
    <w:rsid w:val="00154400"/>
    <w:rsid w:val="00191E7B"/>
    <w:rsid w:val="001A4647"/>
    <w:rsid w:val="001C1FE6"/>
    <w:rsid w:val="001F5A6E"/>
    <w:rsid w:val="001F6F77"/>
    <w:rsid w:val="0020133B"/>
    <w:rsid w:val="002017CF"/>
    <w:rsid w:val="0021704E"/>
    <w:rsid w:val="00251DA8"/>
    <w:rsid w:val="002718D9"/>
    <w:rsid w:val="002748C2"/>
    <w:rsid w:val="00286B62"/>
    <w:rsid w:val="002A2AE0"/>
    <w:rsid w:val="002C3137"/>
    <w:rsid w:val="002C411B"/>
    <w:rsid w:val="002C7008"/>
    <w:rsid w:val="002D72CF"/>
    <w:rsid w:val="00347897"/>
    <w:rsid w:val="003F2FF4"/>
    <w:rsid w:val="00402E66"/>
    <w:rsid w:val="004057AD"/>
    <w:rsid w:val="00416E5D"/>
    <w:rsid w:val="0042166F"/>
    <w:rsid w:val="00424A80"/>
    <w:rsid w:val="00431280"/>
    <w:rsid w:val="00436709"/>
    <w:rsid w:val="0045320E"/>
    <w:rsid w:val="00455369"/>
    <w:rsid w:val="00460CDB"/>
    <w:rsid w:val="004847C3"/>
    <w:rsid w:val="004A2F49"/>
    <w:rsid w:val="004D0418"/>
    <w:rsid w:val="004E3D28"/>
    <w:rsid w:val="0050078F"/>
    <w:rsid w:val="00503881"/>
    <w:rsid w:val="00511FF4"/>
    <w:rsid w:val="00516D3A"/>
    <w:rsid w:val="005203EF"/>
    <w:rsid w:val="00520558"/>
    <w:rsid w:val="00561B26"/>
    <w:rsid w:val="005642E9"/>
    <w:rsid w:val="00574C7E"/>
    <w:rsid w:val="005C7078"/>
    <w:rsid w:val="005D31F3"/>
    <w:rsid w:val="005E2DEC"/>
    <w:rsid w:val="0060245A"/>
    <w:rsid w:val="0061612E"/>
    <w:rsid w:val="00622A0F"/>
    <w:rsid w:val="00624DDE"/>
    <w:rsid w:val="0068611C"/>
    <w:rsid w:val="006912C9"/>
    <w:rsid w:val="006A14FD"/>
    <w:rsid w:val="006B3D90"/>
    <w:rsid w:val="006B602B"/>
    <w:rsid w:val="006D77EE"/>
    <w:rsid w:val="006F3276"/>
    <w:rsid w:val="00722FD6"/>
    <w:rsid w:val="00723494"/>
    <w:rsid w:val="00724E73"/>
    <w:rsid w:val="0073348D"/>
    <w:rsid w:val="0073567E"/>
    <w:rsid w:val="00783E4C"/>
    <w:rsid w:val="00784D62"/>
    <w:rsid w:val="007D6B39"/>
    <w:rsid w:val="0080332D"/>
    <w:rsid w:val="00807175"/>
    <w:rsid w:val="00832500"/>
    <w:rsid w:val="00843590"/>
    <w:rsid w:val="00844726"/>
    <w:rsid w:val="008467A0"/>
    <w:rsid w:val="00873FA5"/>
    <w:rsid w:val="008A28C2"/>
    <w:rsid w:val="008A5573"/>
    <w:rsid w:val="008E4746"/>
    <w:rsid w:val="008E61AB"/>
    <w:rsid w:val="008F4553"/>
    <w:rsid w:val="009056F3"/>
    <w:rsid w:val="009133C2"/>
    <w:rsid w:val="0092780D"/>
    <w:rsid w:val="009322D8"/>
    <w:rsid w:val="00936B90"/>
    <w:rsid w:val="00950836"/>
    <w:rsid w:val="00953F04"/>
    <w:rsid w:val="00985C21"/>
    <w:rsid w:val="00990845"/>
    <w:rsid w:val="009A1626"/>
    <w:rsid w:val="009C691C"/>
    <w:rsid w:val="009D4B54"/>
    <w:rsid w:val="00A06AEF"/>
    <w:rsid w:val="00A26585"/>
    <w:rsid w:val="00A4143C"/>
    <w:rsid w:val="00A45463"/>
    <w:rsid w:val="00A8325E"/>
    <w:rsid w:val="00A8520B"/>
    <w:rsid w:val="00A87013"/>
    <w:rsid w:val="00A95DF2"/>
    <w:rsid w:val="00AA01F6"/>
    <w:rsid w:val="00AA2FEF"/>
    <w:rsid w:val="00AB4B61"/>
    <w:rsid w:val="00AC5C8C"/>
    <w:rsid w:val="00B13F09"/>
    <w:rsid w:val="00B25C76"/>
    <w:rsid w:val="00B343F7"/>
    <w:rsid w:val="00B5707A"/>
    <w:rsid w:val="00B70B5A"/>
    <w:rsid w:val="00B74524"/>
    <w:rsid w:val="00BA5DCE"/>
    <w:rsid w:val="00BA6833"/>
    <w:rsid w:val="00BA76FC"/>
    <w:rsid w:val="00BB5F83"/>
    <w:rsid w:val="00BF0AAB"/>
    <w:rsid w:val="00BF1655"/>
    <w:rsid w:val="00BF5C0F"/>
    <w:rsid w:val="00C001DB"/>
    <w:rsid w:val="00C17940"/>
    <w:rsid w:val="00C23F55"/>
    <w:rsid w:val="00C247E2"/>
    <w:rsid w:val="00C6248B"/>
    <w:rsid w:val="00C64937"/>
    <w:rsid w:val="00C71242"/>
    <w:rsid w:val="00C74D6C"/>
    <w:rsid w:val="00CA77DF"/>
    <w:rsid w:val="00CE2890"/>
    <w:rsid w:val="00D04359"/>
    <w:rsid w:val="00D1415A"/>
    <w:rsid w:val="00D55C11"/>
    <w:rsid w:val="00D57C87"/>
    <w:rsid w:val="00DA6E4B"/>
    <w:rsid w:val="00DF6170"/>
    <w:rsid w:val="00E07ACB"/>
    <w:rsid w:val="00E16CCE"/>
    <w:rsid w:val="00E634BF"/>
    <w:rsid w:val="00E659CE"/>
    <w:rsid w:val="00E96DD2"/>
    <w:rsid w:val="00EB265A"/>
    <w:rsid w:val="00ED249B"/>
    <w:rsid w:val="00ED5ECB"/>
    <w:rsid w:val="00EE3026"/>
    <w:rsid w:val="00F01D2D"/>
    <w:rsid w:val="00F25BD6"/>
    <w:rsid w:val="00F31F21"/>
    <w:rsid w:val="00F52E20"/>
    <w:rsid w:val="00F6250A"/>
    <w:rsid w:val="00FA11E1"/>
    <w:rsid w:val="00FB21F6"/>
    <w:rsid w:val="00FC2C97"/>
    <w:rsid w:val="00FD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75978FE-5FE3-4B40-B3C7-4A930E04F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line="100" w:lineRule="atLeast"/>
    </w:pPr>
    <w:rPr>
      <w:rFonts w:ascii="Calibri" w:eastAsia="SimSun" w:hAnsi="Calibri" w:cs="Calibri"/>
      <w:kern w:val="1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En-tteCar">
    <w:name w:val="En-tête Car"/>
    <w:rPr>
      <w:rFonts w:ascii="Times New Roman" w:eastAsia="Times New Roman" w:hAnsi="Times New Roman" w:cs="Times New Roman"/>
      <w:sz w:val="24"/>
      <w:szCs w:val="24"/>
    </w:rPr>
  </w:style>
  <w:style w:type="character" w:customStyle="1" w:styleId="PieddepageCar">
    <w:name w:val="Pied de page Car"/>
    <w:uiPriority w:val="99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rPr>
      <w:rFonts w:eastAsia="OpenSymbol" w:cs="OpenSymbol"/>
    </w:rPr>
  </w:style>
  <w:style w:type="character" w:customStyle="1" w:styleId="ListLabel2">
    <w:name w:val="ListLabel 2"/>
    <w:rPr>
      <w:rFonts w:cs="Courier New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</w:pPr>
  </w:style>
  <w:style w:type="paragraph" w:styleId="Pieddepage">
    <w:name w:val="footer"/>
    <w:basedOn w:val="Normal"/>
    <w:uiPriority w:val="99"/>
    <w:pPr>
      <w:suppressLineNumbers/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86B62"/>
    <w:pPr>
      <w:spacing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286B62"/>
    <w:rPr>
      <w:rFonts w:ascii="Segoe UI" w:eastAsia="SimSun" w:hAnsi="Segoe UI" w:cs="Segoe UI"/>
      <w:kern w:val="1"/>
      <w:sz w:val="18"/>
      <w:szCs w:val="18"/>
      <w:lang w:eastAsia="ar-SA"/>
    </w:rPr>
  </w:style>
  <w:style w:type="character" w:styleId="Lienhypertexte">
    <w:name w:val="Hyperlink"/>
    <w:uiPriority w:val="99"/>
    <w:unhideWhenUsed/>
    <w:rsid w:val="00511FF4"/>
    <w:rPr>
      <w:color w:val="0000FF"/>
      <w:u w:val="single"/>
    </w:rPr>
  </w:style>
  <w:style w:type="character" w:styleId="Lienhypertextesuivivisit">
    <w:name w:val="FollowedHyperlink"/>
    <w:uiPriority w:val="99"/>
    <w:semiHidden/>
    <w:unhideWhenUsed/>
    <w:rsid w:val="006F3276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rsid w:val="001232A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232A8"/>
    <w:rPr>
      <w:rFonts w:cs="Times New Roman"/>
      <w:lang w:val="x-none"/>
    </w:rPr>
  </w:style>
  <w:style w:type="character" w:customStyle="1" w:styleId="CommentaireCar">
    <w:name w:val="Commentaire Car"/>
    <w:link w:val="Commentaire"/>
    <w:uiPriority w:val="99"/>
    <w:semiHidden/>
    <w:rsid w:val="001232A8"/>
    <w:rPr>
      <w:rFonts w:ascii="Calibri" w:eastAsia="SimSun" w:hAnsi="Calibri" w:cs="Calibri"/>
      <w:kern w:val="1"/>
      <w:sz w:val="24"/>
      <w:szCs w:val="24"/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232A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1232A8"/>
    <w:rPr>
      <w:rFonts w:ascii="Calibri" w:eastAsia="SimSun" w:hAnsi="Calibri" w:cs="Calibri"/>
      <w:b/>
      <w:bCs/>
      <w:kern w:val="1"/>
      <w:sz w:val="24"/>
      <w:szCs w:val="24"/>
      <w:lang w:eastAsia="ar-SA"/>
    </w:rPr>
  </w:style>
  <w:style w:type="character" w:customStyle="1" w:styleId="Mentionnonrsolue1">
    <w:name w:val="Mention non résolue1"/>
    <w:uiPriority w:val="99"/>
    <w:semiHidden/>
    <w:unhideWhenUsed/>
    <w:rsid w:val="00723494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CE289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89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CE2890"/>
    <w:pPr>
      <w:suppressAutoHyphens w:val="0"/>
      <w:spacing w:after="200" w:line="276" w:lineRule="auto"/>
      <w:ind w:left="720"/>
      <w:contextualSpacing/>
    </w:pPr>
    <w:rPr>
      <w:rFonts w:eastAsia="Calibri" w:cs="Times New Roman"/>
      <w:kern w:val="0"/>
      <w:sz w:val="22"/>
      <w:szCs w:val="22"/>
      <w:lang w:eastAsia="en-US"/>
    </w:rPr>
  </w:style>
  <w:style w:type="paragraph" w:styleId="Sansinterligne">
    <w:name w:val="No Spacing"/>
    <w:uiPriority w:val="1"/>
    <w:qFormat/>
    <w:rsid w:val="0045536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654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 A Martens</dc:creator>
  <cp:keywords/>
  <cp:lastModifiedBy>itarride</cp:lastModifiedBy>
  <cp:revision>9</cp:revision>
  <cp:lastPrinted>2015-05-23T18:40:00Z</cp:lastPrinted>
  <dcterms:created xsi:type="dcterms:W3CDTF">2018-05-08T21:37:00Z</dcterms:created>
  <dcterms:modified xsi:type="dcterms:W3CDTF">2018-05-11T20:03:00Z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