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DDDD7" w14:textId="5B18FD9B" w:rsidR="00F31F7B" w:rsidRDefault="00FB1621" w:rsidP="00FB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621">
        <w:rPr>
          <w:rFonts w:ascii="Times New Roman" w:hAnsi="Times New Roman" w:cs="Times New Roman"/>
          <w:sz w:val="24"/>
          <w:szCs w:val="24"/>
        </w:rPr>
        <w:t>Carte mentale</w:t>
      </w:r>
      <w:r>
        <w:rPr>
          <w:rFonts w:ascii="Times New Roman" w:hAnsi="Times New Roman" w:cs="Times New Roman"/>
          <w:sz w:val="24"/>
          <w:szCs w:val="24"/>
        </w:rPr>
        <w:t xml:space="preserve"> sur le chapitre de sociologie</w:t>
      </w:r>
      <w:r w:rsidR="00F31F7B">
        <w:rPr>
          <w:rFonts w:ascii="Times New Roman" w:hAnsi="Times New Roman" w:cs="Times New Roman"/>
          <w:sz w:val="24"/>
          <w:szCs w:val="24"/>
        </w:rPr>
        <w:t>.</w:t>
      </w:r>
    </w:p>
    <w:p w14:paraId="68C5FB59" w14:textId="77777777" w:rsidR="00F31F7B" w:rsidRDefault="00F31F7B" w:rsidP="00FB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458DB3" w14:textId="0197D39D" w:rsidR="00B27627" w:rsidRPr="00F31F7B" w:rsidRDefault="00FB1621" w:rsidP="00F31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7B">
        <w:rPr>
          <w:rFonts w:ascii="Times New Roman" w:hAnsi="Times New Roman" w:cs="Times New Roman"/>
          <w:b/>
          <w:sz w:val="28"/>
          <w:szCs w:val="28"/>
        </w:rPr>
        <w:t>Comment la socialisation contribue-t-elle à expliquer les différences de comportement des individus ?</w:t>
      </w:r>
    </w:p>
    <w:p w14:paraId="2A5A08DC" w14:textId="77777777" w:rsidR="00FB1621" w:rsidRPr="00FB1621" w:rsidRDefault="00FB1621" w:rsidP="00FB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GoBack"/>
    <w:p w14:paraId="5B12AB13" w14:textId="77777777" w:rsidR="00FB1621" w:rsidRPr="00DE55B3" w:rsidRDefault="007D2ECC" w:rsidP="00FB1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 w14:anchorId="77F6CCBD">
          <v:group id="_x0000_s1026" editas="canvas" style="width:707.3pt;height:313pt;mso-position-horizontal-relative:char;mso-position-vertical-relative:line" coordorigin="2360,11700" coordsize="9732,43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0;top:11700;width:9732;height:430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49;top:12069;width:1493;height:1259">
              <v:textbox>
                <w:txbxContent>
                  <w:p w14:paraId="52196772" w14:textId="77777777" w:rsidR="00FB1621" w:rsidRPr="000561FB" w:rsidRDefault="00FB1621" w:rsidP="00FB1621">
                    <w:pPr>
                      <w:spacing w:after="0" w:line="240" w:lineRule="auto"/>
                      <w:jc w:val="both"/>
                      <w:rPr>
                        <w:rFonts w:ascii="Verdana" w:hAnsi="Verdana" w:cs="Times New Roman"/>
                        <w:sz w:val="20"/>
                        <w:szCs w:val="20"/>
                      </w:rPr>
                    </w:pPr>
                    <w:r w:rsidRPr="000561FB">
                      <w:rPr>
                        <w:rFonts w:ascii="Verdana" w:hAnsi="Verdana" w:cs="Times New Roman"/>
                        <w:sz w:val="20"/>
                        <w:szCs w:val="20"/>
                      </w:rPr>
                      <w:t>Configurations familiales, école, groupe de pairs, médias</w:t>
                    </w: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 xml:space="preserve"> (</w:t>
                    </w:r>
                    <w:r w:rsidRPr="0009535D">
                      <w:rPr>
                        <w:rFonts w:ascii="Verdana" w:hAnsi="Verdana" w:cs="Times New Roman"/>
                        <w:color w:val="0070C0"/>
                        <w:sz w:val="20"/>
                        <w:szCs w:val="20"/>
                      </w:rPr>
                      <w:t>socialisation primaire</w:t>
                    </w:r>
                    <w:r w:rsidR="0009535D">
                      <w:rPr>
                        <w:rFonts w:ascii="Verdana" w:hAnsi="Verdana" w:cs="Times New Roman"/>
                        <w:sz w:val="20"/>
                        <w:szCs w:val="20"/>
                      </w:rPr>
                      <w:t> : normes et valeurs</w:t>
                    </w: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_x0000_s1029" type="#_x0000_t202" style="position:absolute;left:4194;top:11994;width:1446;height:1234">
              <v:textbox>
                <w:txbxContent>
                  <w:p w14:paraId="754DCE37" w14:textId="77777777" w:rsidR="00FB1621" w:rsidRPr="000F5756" w:rsidRDefault="004A5F82" w:rsidP="00FB162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Manières d’a</w:t>
                    </w:r>
                    <w:r w:rsidR="00FB1621" w:rsidRPr="000F57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gir,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de </w:t>
                    </w:r>
                    <w:r w:rsidR="00FB1621" w:rsidRPr="000F57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penser,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d’</w:t>
                    </w:r>
                    <w:r w:rsidR="00FB1621" w:rsidRPr="000F57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anticiper l’avenir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4A5F8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socialement situées</w:t>
                    </w:r>
                  </w:p>
                </w:txbxContent>
              </v:textbox>
            </v:shape>
            <v:shape id="_x0000_s1030" type="#_x0000_t202" style="position:absolute;left:6255;top:11838;width:1754;height:1490">
              <v:textbox>
                <w:txbxContent>
                  <w:p w14:paraId="549F72AB" w14:textId="77777777" w:rsidR="0009535D" w:rsidRDefault="00FB1621" w:rsidP="00FB1621">
                    <w:pPr>
                      <w:spacing w:after="0" w:line="240" w:lineRule="auto"/>
                      <w:jc w:val="both"/>
                      <w:rPr>
                        <w:rFonts w:ascii="Verdana" w:hAnsi="Verdana" w:cs="Times New Roman"/>
                        <w:sz w:val="20"/>
                        <w:szCs w:val="20"/>
                      </w:rPr>
                    </w:pPr>
                    <w:r w:rsidRPr="0009535D">
                      <w:rPr>
                        <w:rFonts w:ascii="Verdana" w:hAnsi="Verdana" w:cs="Times New Roman"/>
                        <w:color w:val="0070C0"/>
                        <w:sz w:val="20"/>
                        <w:szCs w:val="20"/>
                      </w:rPr>
                      <w:t>Socialisation secondaire</w:t>
                    </w:r>
                    <w:r w:rsidR="0009535D">
                      <w:rPr>
                        <w:rFonts w:ascii="Verdana" w:hAnsi="Verdana"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03FEE3BD" w14:textId="77777777" w:rsidR="0009535D" w:rsidRDefault="0009535D" w:rsidP="00FB1621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 xml:space="preserve"> -</w:t>
                    </w:r>
                    <w:r w:rsidR="00FB1621" w:rsidRPr="004A5F82">
                      <w:rPr>
                        <w:rFonts w:ascii="Verdana" w:hAnsi="Verdana" w:cs="Times New Roman"/>
                        <w:color w:val="0070C0"/>
                        <w:sz w:val="20"/>
                        <w:szCs w:val="20"/>
                      </w:rPr>
                      <w:t>professionnelle</w:t>
                    </w: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 : formation, métier, collègues de travail</w:t>
                    </w:r>
                    <w:r w:rsidR="00FB1621" w:rsidRPr="000561FB">
                      <w:rPr>
                        <w:rFonts w:ascii="Verdana" w:hAnsi="Verdana" w:cs="Times New Roman"/>
                        <w:sz w:val="20"/>
                        <w:szCs w:val="20"/>
                      </w:rPr>
                      <w:t>,</w:t>
                    </w:r>
                    <w:r w:rsidR="00FB162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14:paraId="6473866D" w14:textId="77777777" w:rsidR="0009535D" w:rsidRDefault="0009535D" w:rsidP="00FB1621">
                    <w:pPr>
                      <w:spacing w:after="0" w:line="240" w:lineRule="auto"/>
                      <w:jc w:val="both"/>
                      <w:rPr>
                        <w:rFonts w:ascii="Verdana" w:hAnsi="Verdana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- </w:t>
                    </w:r>
                    <w:r w:rsidR="00FB1621" w:rsidRPr="004A5F82">
                      <w:rPr>
                        <w:rFonts w:ascii="Verdana" w:hAnsi="Verdana" w:cs="Times New Roman"/>
                        <w:color w:val="0070C0"/>
                        <w:sz w:val="20"/>
                        <w:szCs w:val="20"/>
                      </w:rPr>
                      <w:t>conjugale</w:t>
                    </w: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 : couple</w:t>
                    </w:r>
                    <w:r w:rsidR="00FB1621" w:rsidRPr="00A64745">
                      <w:rPr>
                        <w:rFonts w:ascii="Verdana" w:hAnsi="Verdana" w:cs="Times New Roman"/>
                        <w:sz w:val="20"/>
                        <w:szCs w:val="20"/>
                      </w:rPr>
                      <w:t xml:space="preserve">, </w:t>
                    </w:r>
                  </w:p>
                  <w:p w14:paraId="3EF8E95A" w14:textId="07A39D67" w:rsidR="00FB1621" w:rsidRPr="00A64745" w:rsidRDefault="0009535D" w:rsidP="00FB1621">
                    <w:pPr>
                      <w:spacing w:after="0" w:line="240" w:lineRule="auto"/>
                      <w:jc w:val="both"/>
                      <w:rPr>
                        <w:rFonts w:ascii="Verdana" w:hAnsi="Verdana" w:cs="Times New Roman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-</w:t>
                    </w:r>
                    <w:r w:rsidR="007D2ECC">
                      <w:rPr>
                        <w:rFonts w:ascii="Verdana" w:hAnsi="Verdana" w:cs="Times New Roman"/>
                        <w:sz w:val="20"/>
                        <w:szCs w:val="20"/>
                      </w:rPr>
                      <w:t xml:space="preserve"> </w:t>
                    </w:r>
                    <w:r w:rsidRPr="004A5F82">
                      <w:rPr>
                        <w:rFonts w:ascii="Verdana" w:hAnsi="Verdana" w:cs="Times New Roman"/>
                        <w:color w:val="0070C0"/>
                        <w:sz w:val="20"/>
                        <w:szCs w:val="20"/>
                      </w:rPr>
                      <w:t>politique</w:t>
                    </w: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 : partis, associations, famille</w:t>
                    </w:r>
                  </w:p>
                </w:txbxContent>
              </v:textbox>
            </v:shape>
            <v:oval id="_x0000_s1031" style="position:absolute;left:4239;top:13846;width:1764;height:1207">
              <v:textbox>
                <w:txbxContent>
                  <w:p w14:paraId="6701DE6D" w14:textId="77777777" w:rsidR="00FB1621" w:rsidRPr="000F5756" w:rsidRDefault="00FB1621" w:rsidP="00FB162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F575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Construction d’une </w:t>
                    </w:r>
                    <w:r w:rsidRPr="004A5F8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identité sociale</w:t>
                    </w:r>
                    <w:r w:rsidR="004A5F82" w:rsidRPr="004A5F8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particulière</w:t>
                    </w:r>
                  </w:p>
                </w:txbxContent>
              </v:textbox>
            </v:oval>
            <v:shape id="_x0000_s1032" type="#_x0000_t202" style="position:absolute;left:8488;top:12133;width:1803;height:872">
              <v:textbox>
                <w:txbxContent>
                  <w:p w14:paraId="2E7EEACF" w14:textId="77777777" w:rsidR="00FB1621" w:rsidRPr="000F5756" w:rsidRDefault="00FB1621" w:rsidP="00FB1621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6474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Renforcement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ou bien </w:t>
                    </w:r>
                    <w:r w:rsidRPr="00A6474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transformation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</w:t>
                    </w:r>
                    <w:r w:rsidRPr="004A5F82">
                      <w:rPr>
                        <w:rFonts w:ascii="Times New Roman" w:hAnsi="Times New Roman" w:cs="Times New Roman"/>
                        <w:color w:val="CC0099"/>
                        <w:sz w:val="24"/>
                        <w:szCs w:val="24"/>
                      </w:rPr>
                      <w:t>restructuration, conversion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oval id="_x0000_s1033" style="position:absolute;left:6634;top:13725;width:3175;height:1072">
              <v:textbox>
                <w:txbxContent>
                  <w:p w14:paraId="431F00BE" w14:textId="77777777" w:rsidR="00FB1621" w:rsidRPr="000F5756" w:rsidRDefault="00FB1621" w:rsidP="00FB1621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A5F82">
                      <w:rPr>
                        <w:rFonts w:ascii="Times New Roman" w:hAnsi="Times New Roman" w:cs="Times New Roman"/>
                        <w:b/>
                        <w:color w:val="CC0099"/>
                        <w:sz w:val="24"/>
                        <w:szCs w:val="24"/>
                        <w:highlight w:val="yellow"/>
                      </w:rPr>
                      <w:t>Reconstruction</w:t>
                    </w:r>
                    <w:r w:rsidRPr="004A5F82">
                      <w:rPr>
                        <w:rFonts w:ascii="Times New Roman" w:hAnsi="Times New Roman" w:cs="Times New Roman"/>
                        <w:color w:val="CC0099"/>
                        <w:sz w:val="24"/>
                        <w:szCs w:val="24"/>
                        <w:highlight w:val="yellow"/>
                      </w:rPr>
                      <w:t xml:space="preserve"> </w:t>
                    </w:r>
                    <w:r w:rsidRPr="004A5F8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de l’identité sociale</w:t>
                    </w:r>
                    <w:r w:rsidR="004A5F8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et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4A5F8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trajectoires individuelles improbables</w:t>
                    </w:r>
                  </w:p>
                </w:txbxContent>
              </v:textbox>
            </v:oval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4" type="#_x0000_t13" style="position:absolute;left:2449;top:15064;width:4920;height:544">
              <v:textbox>
                <w:txbxContent>
                  <w:p w14:paraId="310741B8" w14:textId="77777777" w:rsidR="00FB1621" w:rsidRPr="000561FB" w:rsidRDefault="00FB1621" w:rsidP="00FB1621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0561FB">
                      <w:rPr>
                        <w:rFonts w:ascii="Verdana" w:hAnsi="Verdana"/>
                        <w:sz w:val="20"/>
                        <w:szCs w:val="20"/>
                      </w:rPr>
                      <w:t>Multiples influences socialisatrices</w:t>
                    </w:r>
                    <w:r w:rsidR="00630231">
                      <w:rPr>
                        <w:rFonts w:ascii="Verdana" w:hAnsi="Verdana"/>
                        <w:sz w:val="20"/>
                        <w:szCs w:val="20"/>
                      </w:rPr>
                      <w:t xml:space="preserve"> tout au long de la vie</w:t>
                    </w:r>
                  </w:p>
                </w:txbxContent>
              </v:textbox>
            </v:shape>
            <v:shape id="_x0000_s1036" type="#_x0000_t13" style="position:absolute;left:3942;top:12276;width:216;height:179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5" type="#_x0000_t109" style="position:absolute;left:7564;top:15064;width:3300;height:394">
              <v:textbox>
                <w:txbxContent>
                  <w:p w14:paraId="4E4BB5C0" w14:textId="77777777" w:rsidR="00FB1621" w:rsidRPr="002F0C77" w:rsidRDefault="00FB1621" w:rsidP="00955FE0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A6E9A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Différences de comportement des individus</w:t>
                    </w:r>
                  </w:p>
                </w:txbxContent>
              </v:textbox>
            </v:shape>
            <v:shape id="_x0000_s1037" type="#_x0000_t13" style="position:absolute;left:8061;top:12455;width:427;height:200"/>
            <v:shape id="_x0000_s1039" type="#_x0000_t202" style="position:absolute;left:2901;top:13402;width:1711;height:503" strokecolor="white [3212]">
              <v:textbox>
                <w:txbxContent>
                  <w:p w14:paraId="10BD4938" w14:textId="2173D571" w:rsidR="004A5F82" w:rsidRPr="00F31F7B" w:rsidRDefault="004A5F82" w:rsidP="004A5F82">
                    <w:pPr>
                      <w:spacing w:after="0" w:line="240" w:lineRule="auto"/>
                      <w:rPr>
                        <w:rFonts w:ascii="Brush Script MT" w:hAnsi="Brush Script MT"/>
                        <w:color w:val="00B050"/>
                        <w:sz w:val="26"/>
                        <w:szCs w:val="26"/>
                      </w:rPr>
                    </w:pPr>
                    <w:r w:rsidRPr="00F31F7B">
                      <w:rPr>
                        <w:rFonts w:ascii="Brush Script MT" w:hAnsi="Brush Script MT"/>
                        <w:color w:val="00B050"/>
                        <w:sz w:val="26"/>
                        <w:szCs w:val="26"/>
                      </w:rPr>
                      <w:t>Ex : selon le genre, selon le milieu social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4492;top:13228;width:305;height:396;flip:x" o:connectortype="straight" strokecolor="#9bbb59 [3206]" strokeweight="1pt">
              <v:stroke dashstyle="dash" endarrow="block"/>
              <v:shadow color="#868686"/>
            </v:shape>
            <v:shape id="_x0000_s1041" type="#_x0000_t202" style="position:absolute;left:9809;top:13846;width:2067;height:1003" strokecolor="white [3212]">
              <v:textbox>
                <w:txbxContent>
                  <w:p w14:paraId="6F38A525" w14:textId="16CF6A78" w:rsidR="004A5F82" w:rsidRPr="00F31F7B" w:rsidRDefault="004A5F82" w:rsidP="004A5F82">
                    <w:pPr>
                      <w:spacing w:after="0" w:line="240" w:lineRule="auto"/>
                      <w:jc w:val="both"/>
                      <w:rPr>
                        <w:rFonts w:ascii="Brush Script MT" w:hAnsi="Brush Script MT"/>
                        <w:color w:val="00B050"/>
                        <w:sz w:val="26"/>
                        <w:szCs w:val="26"/>
                      </w:rPr>
                    </w:pPr>
                    <w:r w:rsidRPr="00F31F7B">
                      <w:rPr>
                        <w:rFonts w:ascii="Brush Script MT" w:hAnsi="Brush Script MT"/>
                        <w:color w:val="00B050"/>
                        <w:sz w:val="26"/>
                        <w:szCs w:val="26"/>
                      </w:rPr>
                      <w:t>Ex : réussites paradoxales,</w:t>
                    </w:r>
                    <w:r w:rsidR="007D2ECC" w:rsidRPr="00F31F7B">
                      <w:rPr>
                        <w:rFonts w:ascii="Brush Script MT" w:hAnsi="Brush Script MT"/>
                        <w:color w:val="00B050"/>
                        <w:sz w:val="26"/>
                        <w:szCs w:val="26"/>
                      </w:rPr>
                      <w:t xml:space="preserve"> </w:t>
                    </w:r>
                    <w:r w:rsidRPr="00F31F7B">
                      <w:rPr>
                        <w:rFonts w:ascii="Brush Script MT" w:hAnsi="Brush Script MT"/>
                        <w:color w:val="00B050"/>
                        <w:sz w:val="26"/>
                        <w:szCs w:val="26"/>
                      </w:rPr>
                      <w:t>chirurgiennes (rôle de la socialisation anticipatrice)</w:t>
                    </w:r>
                    <w:r w:rsidR="007D2ECC">
                      <w:rPr>
                        <w:rFonts w:ascii="Brush Script MT" w:hAnsi="Brush Script MT"/>
                        <w:color w:val="00B050"/>
                        <w:sz w:val="26"/>
                        <w:szCs w:val="26"/>
                      </w:rPr>
                      <w:t xml:space="preserve"> </w:t>
                    </w:r>
                    <w:r w:rsidR="007D2ECC" w:rsidRPr="00F31F7B">
                      <w:rPr>
                        <w:rFonts w:ascii="Brush Script MT" w:hAnsi="Brush Script MT"/>
                        <w:color w:val="00B050"/>
                        <w:sz w:val="26"/>
                        <w:szCs w:val="26"/>
                      </w:rPr>
                      <w:t>échecs paradoxaux</w:t>
                    </w:r>
                  </w:p>
                </w:txbxContent>
              </v:textbox>
            </v:shape>
            <v:shape id="_x0000_s1042" type="#_x0000_t32" style="position:absolute;left:9147;top:14044;width:707;height:273;flip:y" o:connectortype="straight" strokecolor="#9bbb59 [3206]" strokeweight="1pt">
              <v:stroke dashstyle="dash" endarrow="block"/>
              <v:shadow color="#868686"/>
            </v:shape>
            <w10:wrap type="none"/>
            <w10:anchorlock/>
          </v:group>
        </w:pict>
      </w:r>
      <w:bookmarkEnd w:id="0"/>
    </w:p>
    <w:p w14:paraId="7639D8DB" w14:textId="77777777" w:rsidR="00FB1621" w:rsidRDefault="00FB1621"/>
    <w:sectPr w:rsidR="00FB1621" w:rsidSect="00FB16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621"/>
    <w:rsid w:val="0009535D"/>
    <w:rsid w:val="004A5F82"/>
    <w:rsid w:val="00630231"/>
    <w:rsid w:val="00660CF1"/>
    <w:rsid w:val="007D2ECC"/>
    <w:rsid w:val="00955FE0"/>
    <w:rsid w:val="00AA6E9A"/>
    <w:rsid w:val="00B27627"/>
    <w:rsid w:val="00D30350"/>
    <w:rsid w:val="00F31F7B"/>
    <w:rsid w:val="00FB1621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0"/>
        <o:r id="V:Rule2" type="connector" idref="#_x0000_s1042"/>
      </o:rules>
    </o:shapelayout>
  </w:shapeDefaults>
  <w:decimalSymbol w:val=","/>
  <w:listSeparator w:val=";"/>
  <w14:docId w14:val="7D209F17"/>
  <w15:docId w15:val="{40FDD87E-991D-4039-A7C4-72978764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6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AEBDE-C480-4CD9-9CAF-93ACC0B5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</dc:creator>
  <cp:lastModifiedBy>Philippe Froissart</cp:lastModifiedBy>
  <cp:revision>8</cp:revision>
  <dcterms:created xsi:type="dcterms:W3CDTF">2019-09-19T15:39:00Z</dcterms:created>
  <dcterms:modified xsi:type="dcterms:W3CDTF">2019-09-24T06:44:00Z</dcterms:modified>
</cp:coreProperties>
</file>