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D48" w:rsidRPr="008165B3" w:rsidRDefault="005D2D48" w:rsidP="005D2D48">
      <w:pPr>
        <w:shd w:val="clear" w:color="auto" w:fill="FFFFFF"/>
        <w:spacing w:before="80" w:after="80" w:line="240" w:lineRule="auto"/>
        <w:jc w:val="center"/>
        <w:outlineLvl w:val="0"/>
        <w:rPr>
          <w:rFonts w:ascii="Arial" w:eastAsia="Times New Roman" w:hAnsi="Arial" w:cs="Arial"/>
          <w:b/>
          <w:bCs/>
          <w:color w:val="000000" w:themeColor="text1"/>
          <w:kern w:val="36"/>
          <w:sz w:val="28"/>
          <w:szCs w:val="28"/>
          <w:lang w:val="en-GB" w:eastAsia="fr-FR"/>
        </w:rPr>
      </w:pPr>
      <w:r w:rsidRPr="008165B3">
        <w:rPr>
          <w:rFonts w:ascii="Arial" w:eastAsia="Times New Roman" w:hAnsi="Arial" w:cs="Arial"/>
          <w:b/>
          <w:bCs/>
          <w:color w:val="000000" w:themeColor="text1"/>
          <w:kern w:val="36"/>
          <w:sz w:val="28"/>
          <w:szCs w:val="28"/>
          <w:lang w:val="en-GB" w:eastAsia="fr-FR"/>
        </w:rPr>
        <w:t>What are the different types of organizations?</w:t>
      </w:r>
    </w:p>
    <w:p w:rsidR="005D2D48" w:rsidRPr="008165B3" w:rsidRDefault="005D2D48" w:rsidP="005D2D48">
      <w:pPr>
        <w:shd w:val="clear" w:color="auto" w:fill="FFFFFF"/>
        <w:spacing w:before="80" w:after="80" w:line="240" w:lineRule="auto"/>
        <w:jc w:val="center"/>
        <w:outlineLvl w:val="0"/>
        <w:rPr>
          <w:rFonts w:ascii="Arial" w:eastAsia="Times New Roman" w:hAnsi="Arial" w:cs="Arial"/>
          <w:bCs/>
          <w:color w:val="000000" w:themeColor="text1"/>
          <w:kern w:val="36"/>
          <w:lang w:val="en-GB" w:eastAsia="fr-FR"/>
        </w:rPr>
      </w:pPr>
    </w:p>
    <w:p w:rsidR="0079478F" w:rsidRDefault="0079478F" w:rsidP="005D2D48">
      <w:pPr>
        <w:shd w:val="clear" w:color="auto" w:fill="FFFFFF"/>
        <w:spacing w:before="80" w:after="80" w:line="240" w:lineRule="auto"/>
        <w:outlineLvl w:val="0"/>
        <w:rPr>
          <w:rFonts w:ascii="Arial" w:eastAsia="Times New Roman" w:hAnsi="Arial" w:cs="Arial"/>
          <w:bCs/>
          <w:color w:val="000000" w:themeColor="text1"/>
          <w:kern w:val="36"/>
          <w:sz w:val="24"/>
          <w:szCs w:val="24"/>
          <w:lang w:val="en-GB" w:eastAsia="fr-FR"/>
        </w:rPr>
      </w:pPr>
    </w:p>
    <w:p w:rsidR="005D2D48" w:rsidRPr="0079478F" w:rsidRDefault="005D2D48" w:rsidP="005D2D48">
      <w:pPr>
        <w:shd w:val="clear" w:color="auto" w:fill="FFFFFF"/>
        <w:spacing w:before="80" w:after="80" w:line="240" w:lineRule="auto"/>
        <w:outlineLvl w:val="0"/>
        <w:rPr>
          <w:rFonts w:ascii="Arial" w:eastAsia="Times New Roman" w:hAnsi="Arial" w:cs="Arial"/>
          <w:bCs/>
          <w:color w:val="000000" w:themeColor="text1"/>
          <w:kern w:val="36"/>
          <w:sz w:val="24"/>
          <w:szCs w:val="24"/>
          <w:lang w:val="en-GB" w:eastAsia="fr-FR"/>
        </w:rPr>
      </w:pPr>
      <w:r w:rsidRPr="008165B3">
        <w:rPr>
          <w:rFonts w:ascii="Arial" w:eastAsia="Times New Roman" w:hAnsi="Arial" w:cs="Arial"/>
          <w:bCs/>
          <w:color w:val="000000" w:themeColor="text1"/>
          <w:kern w:val="36"/>
          <w:sz w:val="24"/>
          <w:szCs w:val="24"/>
          <w:lang w:val="en-GB" w:eastAsia="fr-FR"/>
        </w:rPr>
        <w:t>Organization type is determined by the form of ownership, the owners’ legal liability.</w:t>
      </w:r>
    </w:p>
    <w:p w:rsidR="008165B3" w:rsidRPr="008165B3" w:rsidRDefault="005D2D48" w:rsidP="005D2D48">
      <w:pPr>
        <w:shd w:val="clear" w:color="auto" w:fill="FFFFFF"/>
        <w:spacing w:before="120" w:after="120" w:line="240" w:lineRule="auto"/>
        <w:rPr>
          <w:rFonts w:ascii="Arial" w:eastAsia="Times New Roman" w:hAnsi="Arial" w:cs="Arial"/>
          <w:color w:val="000000" w:themeColor="text1"/>
          <w:sz w:val="24"/>
          <w:szCs w:val="24"/>
          <w:lang w:val="en-GB" w:eastAsia="fr-FR"/>
        </w:rPr>
      </w:pPr>
      <w:r w:rsidRPr="008165B3">
        <w:rPr>
          <w:rFonts w:ascii="Arial" w:eastAsia="Times New Roman" w:hAnsi="Arial" w:cs="Arial"/>
          <w:color w:val="000000" w:themeColor="text1"/>
          <w:sz w:val="24"/>
          <w:szCs w:val="24"/>
          <w:lang w:val="en-GB" w:eastAsia="fr-FR"/>
        </w:rPr>
        <w:t xml:space="preserve">Organisations can be classified in different ways. </w:t>
      </w:r>
    </w:p>
    <w:p w:rsidR="008165B3" w:rsidRPr="008165B3" w:rsidRDefault="005D2D48" w:rsidP="005D2D48">
      <w:pPr>
        <w:shd w:val="clear" w:color="auto" w:fill="FFFFFF"/>
        <w:spacing w:before="120" w:after="120" w:line="240" w:lineRule="auto"/>
        <w:rPr>
          <w:rFonts w:ascii="Arial" w:eastAsia="Times New Roman" w:hAnsi="Arial" w:cs="Arial"/>
          <w:color w:val="000000" w:themeColor="text1"/>
          <w:sz w:val="24"/>
          <w:szCs w:val="24"/>
          <w:lang w:val="en-GB" w:eastAsia="fr-FR"/>
        </w:rPr>
      </w:pPr>
      <w:r w:rsidRPr="008165B3">
        <w:rPr>
          <w:rFonts w:ascii="Arial" w:eastAsia="Times New Roman" w:hAnsi="Arial" w:cs="Arial"/>
          <w:color w:val="000000" w:themeColor="text1"/>
          <w:sz w:val="24"/>
          <w:szCs w:val="24"/>
          <w:lang w:val="en-GB" w:eastAsia="fr-FR"/>
        </w:rPr>
        <w:t>One way is according to their primary objective. Broadly, organisations may be classified as ‘for-profit’ (i.e., commercial) or ‘not-for-profit’ entities. </w:t>
      </w:r>
    </w:p>
    <w:p w:rsidR="005D2D48" w:rsidRPr="008165B3" w:rsidRDefault="00BF1FF7" w:rsidP="005D2D48">
      <w:pPr>
        <w:shd w:val="clear" w:color="auto" w:fill="FFFFFF"/>
        <w:spacing w:before="120" w:after="120" w:line="240" w:lineRule="auto"/>
        <w:rPr>
          <w:rFonts w:ascii="Arial" w:eastAsia="Times New Roman" w:hAnsi="Arial" w:cs="Arial"/>
          <w:color w:val="000000" w:themeColor="text1"/>
          <w:sz w:val="24"/>
          <w:szCs w:val="24"/>
          <w:lang w:val="en-GB" w:eastAsia="fr-FR"/>
        </w:rPr>
      </w:pPr>
      <w:hyperlink r:id="rId7" w:anchor="idp30688016" w:tooltip="Commercial organisations whose primary purpose is to earn profit for the owner/s." w:history="1">
        <w:r w:rsidR="005D2D48" w:rsidRPr="008165B3">
          <w:rPr>
            <w:rFonts w:ascii="Arial" w:eastAsia="Times New Roman" w:hAnsi="Arial" w:cs="Arial"/>
            <w:bCs/>
            <w:color w:val="000000" w:themeColor="text1"/>
            <w:sz w:val="24"/>
            <w:szCs w:val="24"/>
            <w:lang w:val="en-GB" w:eastAsia="fr-FR"/>
          </w:rPr>
          <w:t>‘For-profit’ (commercial) organisations</w:t>
        </w:r>
      </w:hyperlink>
      <w:r w:rsidR="005D2D48" w:rsidRPr="008165B3">
        <w:rPr>
          <w:rFonts w:ascii="Arial" w:eastAsia="Times New Roman" w:hAnsi="Arial" w:cs="Arial"/>
          <w:color w:val="000000" w:themeColor="text1"/>
          <w:sz w:val="24"/>
          <w:szCs w:val="24"/>
          <w:lang w:val="en-GB" w:eastAsia="fr-FR"/>
        </w:rPr>
        <w:t> may have several different objectives. It is generally accepted that maximising the wealth of the owners and continuing in existence are the primary objectives of profit seeking organisations. However, organisations also aim, for example, to provide goods and services to customers and employment to employees.</w:t>
      </w:r>
    </w:p>
    <w:p w:rsidR="005D2D48" w:rsidRPr="008165B3" w:rsidRDefault="00BF1FF7" w:rsidP="005D2D48">
      <w:pPr>
        <w:shd w:val="clear" w:color="auto" w:fill="FFFFFF"/>
        <w:spacing w:before="120" w:after="120" w:line="240" w:lineRule="auto"/>
        <w:rPr>
          <w:rFonts w:ascii="Arial" w:eastAsia="Times New Roman" w:hAnsi="Arial" w:cs="Arial"/>
          <w:color w:val="000000" w:themeColor="text1"/>
          <w:sz w:val="24"/>
          <w:szCs w:val="24"/>
          <w:lang w:eastAsia="fr-FR"/>
        </w:rPr>
      </w:pPr>
      <w:hyperlink r:id="rId8" w:anchor="idp30695360" w:tooltip="Organisations that exist to pursue a particular social objective rather than to earn profit for the ..." w:history="1">
        <w:r w:rsidR="008165B3" w:rsidRPr="008165B3">
          <w:rPr>
            <w:rFonts w:ascii="Arial" w:eastAsia="Times New Roman" w:hAnsi="Arial" w:cs="Arial"/>
            <w:bCs/>
            <w:color w:val="000000" w:themeColor="text1"/>
            <w:sz w:val="24"/>
            <w:szCs w:val="24"/>
            <w:lang w:val="en-GB" w:eastAsia="fr-FR"/>
          </w:rPr>
          <w:t>‘Not-for-</w:t>
        </w:r>
        <w:r w:rsidR="005D2D48" w:rsidRPr="008165B3">
          <w:rPr>
            <w:rFonts w:ascii="Arial" w:eastAsia="Times New Roman" w:hAnsi="Arial" w:cs="Arial"/>
            <w:bCs/>
            <w:color w:val="000000" w:themeColor="text1"/>
            <w:sz w:val="24"/>
            <w:szCs w:val="24"/>
            <w:lang w:val="en-GB" w:eastAsia="fr-FR"/>
          </w:rPr>
          <w:t>profit’ organisations</w:t>
        </w:r>
      </w:hyperlink>
      <w:r w:rsidR="005D2D48" w:rsidRPr="008165B3">
        <w:rPr>
          <w:rFonts w:ascii="Arial" w:eastAsia="Times New Roman" w:hAnsi="Arial" w:cs="Arial"/>
          <w:color w:val="000000" w:themeColor="text1"/>
          <w:sz w:val="24"/>
          <w:szCs w:val="24"/>
          <w:lang w:val="en-GB" w:eastAsia="fr-FR"/>
        </w:rPr>
        <w:t> comprise a large variety of organisations including charities, clubs, </w:t>
      </w:r>
      <w:hyperlink r:id="rId9" w:anchor="idp30676496" w:tooltip="Organisations which are typically engaged in commercial activity, but whose primary purpose is socia..." w:history="1">
        <w:r w:rsidR="005D2D48" w:rsidRPr="008165B3">
          <w:rPr>
            <w:rFonts w:ascii="Arial" w:eastAsia="Times New Roman" w:hAnsi="Arial" w:cs="Arial"/>
            <w:bCs/>
            <w:color w:val="000000" w:themeColor="text1"/>
            <w:sz w:val="24"/>
            <w:szCs w:val="24"/>
            <w:lang w:val="en-GB" w:eastAsia="fr-FR"/>
          </w:rPr>
          <w:t>cooperative firms/social enterprises</w:t>
        </w:r>
      </w:hyperlink>
      <w:r w:rsidR="005D2D48" w:rsidRPr="008165B3">
        <w:rPr>
          <w:rFonts w:ascii="Arial" w:eastAsia="Times New Roman" w:hAnsi="Arial" w:cs="Arial"/>
          <w:color w:val="000000" w:themeColor="text1"/>
          <w:sz w:val="24"/>
          <w:szCs w:val="24"/>
          <w:lang w:val="en-GB" w:eastAsia="fr-FR"/>
        </w:rPr>
        <w:t xml:space="preserve"> and public sector organisations. Public sector organisations are owned, funded and run by central or local government. </w:t>
      </w:r>
      <w:proofErr w:type="spellStart"/>
      <w:r w:rsidR="005D2D48" w:rsidRPr="008165B3">
        <w:rPr>
          <w:rFonts w:ascii="Arial" w:eastAsia="Times New Roman" w:hAnsi="Arial" w:cs="Arial"/>
          <w:color w:val="000000" w:themeColor="text1"/>
          <w:sz w:val="24"/>
          <w:szCs w:val="24"/>
          <w:lang w:eastAsia="fr-FR"/>
        </w:rPr>
        <w:t>They</w:t>
      </w:r>
      <w:proofErr w:type="spellEnd"/>
      <w:r w:rsidR="005D2D48" w:rsidRPr="008165B3">
        <w:rPr>
          <w:rFonts w:ascii="Arial" w:eastAsia="Times New Roman" w:hAnsi="Arial" w:cs="Arial"/>
          <w:color w:val="000000" w:themeColor="text1"/>
          <w:sz w:val="24"/>
          <w:szCs w:val="24"/>
          <w:lang w:eastAsia="fr-FR"/>
        </w:rPr>
        <w:t xml:space="preserve"> </w:t>
      </w:r>
      <w:proofErr w:type="spellStart"/>
      <w:r w:rsidR="005D2D48" w:rsidRPr="008165B3">
        <w:rPr>
          <w:rFonts w:ascii="Arial" w:eastAsia="Times New Roman" w:hAnsi="Arial" w:cs="Arial"/>
          <w:color w:val="000000" w:themeColor="text1"/>
          <w:sz w:val="24"/>
          <w:szCs w:val="24"/>
          <w:lang w:eastAsia="fr-FR"/>
        </w:rPr>
        <w:t>include</w:t>
      </w:r>
      <w:proofErr w:type="spellEnd"/>
      <w:r w:rsidR="005D2D48" w:rsidRPr="008165B3">
        <w:rPr>
          <w:rFonts w:ascii="Arial" w:eastAsia="Times New Roman" w:hAnsi="Arial" w:cs="Arial"/>
          <w:color w:val="000000" w:themeColor="text1"/>
          <w:sz w:val="24"/>
          <w:szCs w:val="24"/>
          <w:lang w:eastAsia="fr-FR"/>
        </w:rPr>
        <w:t>:</w:t>
      </w:r>
    </w:p>
    <w:p w:rsidR="005D2D48" w:rsidRPr="008165B3" w:rsidRDefault="005D2D48" w:rsidP="0079478F">
      <w:pPr>
        <w:numPr>
          <w:ilvl w:val="0"/>
          <w:numId w:val="4"/>
        </w:numPr>
        <w:shd w:val="clear" w:color="auto" w:fill="FFFFFF"/>
        <w:spacing w:before="120" w:after="120" w:line="240" w:lineRule="auto"/>
        <w:rPr>
          <w:rFonts w:ascii="Arial" w:eastAsia="Times New Roman" w:hAnsi="Arial" w:cs="Arial"/>
          <w:color w:val="000000" w:themeColor="text1"/>
          <w:sz w:val="24"/>
          <w:szCs w:val="24"/>
          <w:lang w:eastAsia="fr-FR"/>
        </w:rPr>
      </w:pPr>
      <w:r w:rsidRPr="008165B3">
        <w:rPr>
          <w:rFonts w:ascii="Arial" w:eastAsia="Times New Roman" w:hAnsi="Arial" w:cs="Arial"/>
          <w:color w:val="000000" w:themeColor="text1"/>
          <w:sz w:val="24"/>
          <w:szCs w:val="24"/>
          <w:lang w:eastAsia="fr-FR"/>
        </w:rPr>
        <w:t xml:space="preserve">public </w:t>
      </w:r>
      <w:proofErr w:type="spellStart"/>
      <w:r w:rsidRPr="008165B3">
        <w:rPr>
          <w:rFonts w:ascii="Arial" w:eastAsia="Times New Roman" w:hAnsi="Arial" w:cs="Arial"/>
          <w:color w:val="000000" w:themeColor="text1"/>
          <w:sz w:val="24"/>
          <w:szCs w:val="24"/>
          <w:lang w:eastAsia="fr-FR"/>
        </w:rPr>
        <w:t>hospitals</w:t>
      </w:r>
      <w:proofErr w:type="spellEnd"/>
    </w:p>
    <w:p w:rsidR="005D2D48" w:rsidRPr="008165B3" w:rsidRDefault="005D2D48" w:rsidP="0079478F">
      <w:pPr>
        <w:numPr>
          <w:ilvl w:val="0"/>
          <w:numId w:val="4"/>
        </w:numPr>
        <w:shd w:val="clear" w:color="auto" w:fill="FFFFFF"/>
        <w:spacing w:before="120" w:after="120" w:line="240" w:lineRule="auto"/>
        <w:rPr>
          <w:rFonts w:ascii="Arial" w:eastAsia="Times New Roman" w:hAnsi="Arial" w:cs="Arial"/>
          <w:color w:val="000000" w:themeColor="text1"/>
          <w:sz w:val="24"/>
          <w:szCs w:val="24"/>
          <w:lang w:eastAsia="fr-FR"/>
        </w:rPr>
      </w:pPr>
      <w:r w:rsidRPr="008165B3">
        <w:rPr>
          <w:rFonts w:ascii="Arial" w:eastAsia="Times New Roman" w:hAnsi="Arial" w:cs="Arial"/>
          <w:color w:val="000000" w:themeColor="text1"/>
          <w:sz w:val="24"/>
          <w:szCs w:val="24"/>
          <w:lang w:eastAsia="fr-FR"/>
        </w:rPr>
        <w:t xml:space="preserve">the </w:t>
      </w:r>
      <w:proofErr w:type="spellStart"/>
      <w:r w:rsidRPr="008165B3">
        <w:rPr>
          <w:rFonts w:ascii="Arial" w:eastAsia="Times New Roman" w:hAnsi="Arial" w:cs="Arial"/>
          <w:color w:val="000000" w:themeColor="text1"/>
          <w:sz w:val="24"/>
          <w:szCs w:val="24"/>
          <w:lang w:eastAsia="fr-FR"/>
        </w:rPr>
        <w:t>armed</w:t>
      </w:r>
      <w:proofErr w:type="spellEnd"/>
      <w:r w:rsidRPr="008165B3">
        <w:rPr>
          <w:rFonts w:ascii="Arial" w:eastAsia="Times New Roman" w:hAnsi="Arial" w:cs="Arial"/>
          <w:color w:val="000000" w:themeColor="text1"/>
          <w:sz w:val="24"/>
          <w:szCs w:val="24"/>
          <w:lang w:eastAsia="fr-FR"/>
        </w:rPr>
        <w:t xml:space="preserve"> forces (</w:t>
      </w:r>
      <w:proofErr w:type="spellStart"/>
      <w:r w:rsidRPr="008165B3">
        <w:rPr>
          <w:rFonts w:ascii="Arial" w:eastAsia="Times New Roman" w:hAnsi="Arial" w:cs="Arial"/>
          <w:color w:val="000000" w:themeColor="text1"/>
          <w:sz w:val="24"/>
          <w:szCs w:val="24"/>
          <w:lang w:eastAsia="fr-FR"/>
        </w:rPr>
        <w:t>military</w:t>
      </w:r>
      <w:proofErr w:type="spellEnd"/>
      <w:r w:rsidRPr="008165B3">
        <w:rPr>
          <w:rFonts w:ascii="Arial" w:eastAsia="Times New Roman" w:hAnsi="Arial" w:cs="Arial"/>
          <w:color w:val="000000" w:themeColor="text1"/>
          <w:sz w:val="24"/>
          <w:szCs w:val="24"/>
          <w:lang w:eastAsia="fr-FR"/>
        </w:rPr>
        <w:t>)</w:t>
      </w:r>
    </w:p>
    <w:p w:rsidR="005D2D48" w:rsidRPr="008165B3" w:rsidRDefault="005D2D48" w:rsidP="0079478F">
      <w:pPr>
        <w:numPr>
          <w:ilvl w:val="0"/>
          <w:numId w:val="4"/>
        </w:numPr>
        <w:shd w:val="clear" w:color="auto" w:fill="FFFFFF"/>
        <w:spacing w:before="120" w:after="120" w:line="240" w:lineRule="auto"/>
        <w:rPr>
          <w:rFonts w:ascii="Arial" w:eastAsia="Times New Roman" w:hAnsi="Arial" w:cs="Arial"/>
          <w:color w:val="000000" w:themeColor="text1"/>
          <w:sz w:val="24"/>
          <w:szCs w:val="24"/>
          <w:lang w:eastAsia="fr-FR"/>
        </w:rPr>
      </w:pPr>
      <w:proofErr w:type="spellStart"/>
      <w:r w:rsidRPr="008165B3">
        <w:rPr>
          <w:rFonts w:ascii="Arial" w:eastAsia="Times New Roman" w:hAnsi="Arial" w:cs="Arial"/>
          <w:color w:val="000000" w:themeColor="text1"/>
          <w:sz w:val="24"/>
          <w:szCs w:val="24"/>
          <w:lang w:eastAsia="fr-FR"/>
        </w:rPr>
        <w:t>most</w:t>
      </w:r>
      <w:proofErr w:type="spellEnd"/>
      <w:r w:rsidRPr="008165B3">
        <w:rPr>
          <w:rFonts w:ascii="Arial" w:eastAsia="Times New Roman" w:hAnsi="Arial" w:cs="Arial"/>
          <w:color w:val="000000" w:themeColor="text1"/>
          <w:sz w:val="24"/>
          <w:szCs w:val="24"/>
          <w:lang w:eastAsia="fr-FR"/>
        </w:rPr>
        <w:t xml:space="preserve"> </w:t>
      </w:r>
      <w:proofErr w:type="spellStart"/>
      <w:r w:rsidRPr="008165B3">
        <w:rPr>
          <w:rFonts w:ascii="Arial" w:eastAsia="Times New Roman" w:hAnsi="Arial" w:cs="Arial"/>
          <w:color w:val="000000" w:themeColor="text1"/>
          <w:sz w:val="24"/>
          <w:szCs w:val="24"/>
          <w:lang w:eastAsia="fr-FR"/>
        </w:rPr>
        <w:t>schools</w:t>
      </w:r>
      <w:proofErr w:type="spellEnd"/>
      <w:r w:rsidRPr="008165B3">
        <w:rPr>
          <w:rFonts w:ascii="Arial" w:eastAsia="Times New Roman" w:hAnsi="Arial" w:cs="Arial"/>
          <w:color w:val="000000" w:themeColor="text1"/>
          <w:sz w:val="24"/>
          <w:szCs w:val="24"/>
          <w:lang w:eastAsia="fr-FR"/>
        </w:rPr>
        <w:t xml:space="preserve"> and </w:t>
      </w:r>
      <w:proofErr w:type="spellStart"/>
      <w:r w:rsidRPr="008165B3">
        <w:rPr>
          <w:rFonts w:ascii="Arial" w:eastAsia="Times New Roman" w:hAnsi="Arial" w:cs="Arial"/>
          <w:color w:val="000000" w:themeColor="text1"/>
          <w:sz w:val="24"/>
          <w:szCs w:val="24"/>
          <w:lang w:eastAsia="fr-FR"/>
        </w:rPr>
        <w:t>universities</w:t>
      </w:r>
      <w:bookmarkStart w:id="0" w:name="_GoBack"/>
      <w:bookmarkEnd w:id="0"/>
      <w:proofErr w:type="spellEnd"/>
    </w:p>
    <w:p w:rsidR="005D2D48" w:rsidRPr="008165B3" w:rsidRDefault="005D2D48" w:rsidP="0079478F">
      <w:pPr>
        <w:numPr>
          <w:ilvl w:val="0"/>
          <w:numId w:val="4"/>
        </w:numPr>
        <w:shd w:val="clear" w:color="auto" w:fill="FFFFFF"/>
        <w:spacing w:before="120" w:after="120" w:line="240" w:lineRule="auto"/>
        <w:rPr>
          <w:rFonts w:ascii="Arial" w:eastAsia="Times New Roman" w:hAnsi="Arial" w:cs="Arial"/>
          <w:color w:val="000000" w:themeColor="text1"/>
          <w:sz w:val="24"/>
          <w:szCs w:val="24"/>
          <w:lang w:eastAsia="fr-FR"/>
        </w:rPr>
      </w:pPr>
      <w:proofErr w:type="spellStart"/>
      <w:r w:rsidRPr="008165B3">
        <w:rPr>
          <w:rFonts w:ascii="Arial" w:eastAsia="Times New Roman" w:hAnsi="Arial" w:cs="Arial"/>
          <w:color w:val="000000" w:themeColor="text1"/>
          <w:sz w:val="24"/>
          <w:szCs w:val="24"/>
          <w:lang w:eastAsia="fr-FR"/>
        </w:rPr>
        <w:t>government</w:t>
      </w:r>
      <w:proofErr w:type="spellEnd"/>
      <w:r w:rsidRPr="008165B3">
        <w:rPr>
          <w:rFonts w:ascii="Arial" w:eastAsia="Times New Roman" w:hAnsi="Arial" w:cs="Arial"/>
          <w:color w:val="000000" w:themeColor="text1"/>
          <w:sz w:val="24"/>
          <w:szCs w:val="24"/>
          <w:lang w:eastAsia="fr-FR"/>
        </w:rPr>
        <w:t xml:space="preserve"> </w:t>
      </w:r>
      <w:proofErr w:type="spellStart"/>
      <w:r w:rsidRPr="008165B3">
        <w:rPr>
          <w:rFonts w:ascii="Arial" w:eastAsia="Times New Roman" w:hAnsi="Arial" w:cs="Arial"/>
          <w:color w:val="000000" w:themeColor="text1"/>
          <w:sz w:val="24"/>
          <w:szCs w:val="24"/>
          <w:lang w:eastAsia="fr-FR"/>
        </w:rPr>
        <w:t>departments</w:t>
      </w:r>
      <w:proofErr w:type="spellEnd"/>
      <w:r w:rsidRPr="008165B3">
        <w:rPr>
          <w:rFonts w:ascii="Arial" w:eastAsia="Times New Roman" w:hAnsi="Arial" w:cs="Arial"/>
          <w:color w:val="000000" w:themeColor="text1"/>
          <w:sz w:val="24"/>
          <w:szCs w:val="24"/>
          <w:lang w:eastAsia="fr-FR"/>
        </w:rPr>
        <w:t>.</w:t>
      </w:r>
    </w:p>
    <w:p w:rsidR="005D2D48" w:rsidRPr="008165B3" w:rsidRDefault="005D2D48" w:rsidP="005D2D48">
      <w:pPr>
        <w:shd w:val="clear" w:color="auto" w:fill="FFFFFF"/>
        <w:spacing w:before="120" w:after="120" w:line="240" w:lineRule="auto"/>
        <w:rPr>
          <w:rFonts w:ascii="Arial" w:eastAsia="Times New Roman" w:hAnsi="Arial" w:cs="Arial"/>
          <w:color w:val="000000" w:themeColor="text1"/>
          <w:sz w:val="24"/>
          <w:szCs w:val="24"/>
          <w:lang w:val="en-GB" w:eastAsia="fr-FR"/>
        </w:rPr>
      </w:pPr>
      <w:r w:rsidRPr="008165B3">
        <w:rPr>
          <w:rFonts w:ascii="Arial" w:eastAsia="Times New Roman" w:hAnsi="Arial" w:cs="Arial"/>
          <w:color w:val="000000" w:themeColor="text1"/>
          <w:sz w:val="24"/>
          <w:szCs w:val="24"/>
          <w:lang w:val="en-GB" w:eastAsia="fr-FR"/>
        </w:rPr>
        <w:t xml:space="preserve">These organisations exist to provide services which, for various reasons, </w:t>
      </w:r>
      <w:r w:rsidR="008165B3" w:rsidRPr="008165B3">
        <w:rPr>
          <w:rFonts w:ascii="Arial" w:eastAsia="Times New Roman" w:hAnsi="Arial" w:cs="Arial"/>
          <w:color w:val="000000" w:themeColor="text1"/>
          <w:sz w:val="24"/>
          <w:szCs w:val="24"/>
          <w:lang w:val="en-GB" w:eastAsia="fr-FR"/>
        </w:rPr>
        <w:t>are</w:t>
      </w:r>
      <w:r w:rsidRPr="008165B3">
        <w:rPr>
          <w:rFonts w:ascii="Arial" w:eastAsia="Times New Roman" w:hAnsi="Arial" w:cs="Arial"/>
          <w:color w:val="000000" w:themeColor="text1"/>
          <w:sz w:val="24"/>
          <w:szCs w:val="24"/>
          <w:lang w:val="en-GB" w:eastAsia="fr-FR"/>
        </w:rPr>
        <w:t xml:space="preserve"> considered impractical or undesirable for the commercial sector to provide.</w:t>
      </w:r>
    </w:p>
    <w:p w:rsidR="005D2D48" w:rsidRPr="008165B3" w:rsidRDefault="005D2D48" w:rsidP="005D2D48">
      <w:pPr>
        <w:shd w:val="clear" w:color="auto" w:fill="FFFFFF"/>
        <w:spacing w:before="120" w:after="120" w:line="240" w:lineRule="auto"/>
        <w:rPr>
          <w:rFonts w:ascii="Arial" w:eastAsia="Times New Roman" w:hAnsi="Arial" w:cs="Arial"/>
          <w:color w:val="000000" w:themeColor="text1"/>
          <w:sz w:val="24"/>
          <w:szCs w:val="24"/>
          <w:lang w:val="en-GB" w:eastAsia="fr-FR"/>
        </w:rPr>
      </w:pPr>
      <w:r w:rsidRPr="008165B3">
        <w:rPr>
          <w:rFonts w:ascii="Arial" w:eastAsia="Times New Roman" w:hAnsi="Arial" w:cs="Arial"/>
          <w:color w:val="000000" w:themeColor="text1"/>
          <w:sz w:val="24"/>
          <w:szCs w:val="24"/>
          <w:lang w:val="en-GB" w:eastAsia="fr-FR"/>
        </w:rPr>
        <w:t xml:space="preserve">Whereas commercial organisations, charities and social enterprises must generate sufficient funds from their activities to sustain themselves on a continuing basis, public sector organisations are funded by government. </w:t>
      </w:r>
    </w:p>
    <w:p w:rsidR="005D2D48" w:rsidRPr="008165B3" w:rsidRDefault="005D2D48" w:rsidP="005D2D48">
      <w:pPr>
        <w:shd w:val="clear" w:color="auto" w:fill="FFFFFF"/>
        <w:spacing w:before="120" w:after="120" w:line="240" w:lineRule="auto"/>
        <w:rPr>
          <w:rFonts w:ascii="Arial" w:eastAsia="Times New Roman" w:hAnsi="Arial" w:cs="Arial"/>
          <w:color w:val="000000" w:themeColor="text1"/>
          <w:sz w:val="24"/>
          <w:szCs w:val="24"/>
          <w:lang w:val="en-GB" w:eastAsia="fr-FR"/>
        </w:rPr>
      </w:pPr>
    </w:p>
    <w:p w:rsidR="005D2D48" w:rsidRPr="008165B3" w:rsidRDefault="005D2D48" w:rsidP="008165B3">
      <w:pPr>
        <w:pStyle w:val="Paragraphedeliste"/>
        <w:numPr>
          <w:ilvl w:val="0"/>
          <w:numId w:val="3"/>
        </w:numPr>
        <w:shd w:val="clear" w:color="auto" w:fill="FFFFFF"/>
        <w:spacing w:before="80" w:after="80" w:line="240" w:lineRule="auto"/>
        <w:ind w:left="142" w:hanging="284"/>
        <w:outlineLvl w:val="0"/>
        <w:rPr>
          <w:rFonts w:ascii="Arial" w:hAnsi="Arial" w:cs="Arial"/>
          <w:color w:val="000000" w:themeColor="text1"/>
          <w:sz w:val="24"/>
          <w:szCs w:val="24"/>
          <w:lang w:val="en-GB"/>
        </w:rPr>
      </w:pPr>
      <w:r w:rsidRPr="008165B3">
        <w:rPr>
          <w:rFonts w:ascii="Arial" w:hAnsi="Arial" w:cs="Arial"/>
          <w:color w:val="000000" w:themeColor="text1"/>
          <w:sz w:val="24"/>
          <w:szCs w:val="24"/>
          <w:lang w:val="en-GB"/>
        </w:rPr>
        <w:t xml:space="preserve">What </w:t>
      </w:r>
      <w:r w:rsidR="008165B3" w:rsidRPr="008165B3">
        <w:rPr>
          <w:rFonts w:ascii="Arial" w:hAnsi="Arial" w:cs="Arial"/>
          <w:color w:val="000000" w:themeColor="text1"/>
          <w:sz w:val="24"/>
          <w:szCs w:val="24"/>
          <w:lang w:val="en-GB"/>
        </w:rPr>
        <w:t>is</w:t>
      </w:r>
      <w:r w:rsidRPr="008165B3">
        <w:rPr>
          <w:rFonts w:ascii="Arial" w:hAnsi="Arial" w:cs="Arial"/>
          <w:color w:val="000000" w:themeColor="text1"/>
          <w:sz w:val="24"/>
          <w:szCs w:val="24"/>
          <w:lang w:val="en-GB"/>
        </w:rPr>
        <w:t xml:space="preserve"> </w:t>
      </w:r>
      <w:r w:rsidRPr="008165B3">
        <w:rPr>
          <w:rFonts w:ascii="Arial" w:eastAsia="Times New Roman" w:hAnsi="Arial" w:cs="Arial"/>
          <w:bCs/>
          <w:color w:val="000000" w:themeColor="text1"/>
          <w:kern w:val="36"/>
          <w:sz w:val="24"/>
          <w:szCs w:val="24"/>
          <w:lang w:val="en-GB" w:eastAsia="fr-FR"/>
        </w:rPr>
        <w:t xml:space="preserve">the organization type </w:t>
      </w:r>
      <w:r w:rsidRPr="008165B3">
        <w:rPr>
          <w:rFonts w:ascii="Arial" w:hAnsi="Arial" w:cs="Arial"/>
          <w:color w:val="000000" w:themeColor="text1"/>
          <w:sz w:val="24"/>
          <w:szCs w:val="24"/>
          <w:lang w:val="en-GB"/>
        </w:rPr>
        <w:t>determined by?</w:t>
      </w:r>
    </w:p>
    <w:p w:rsidR="005D2D48" w:rsidRPr="008165B3" w:rsidRDefault="008165B3" w:rsidP="008165B3">
      <w:pPr>
        <w:pStyle w:val="Paragraphedeliste"/>
        <w:numPr>
          <w:ilvl w:val="0"/>
          <w:numId w:val="3"/>
        </w:numPr>
        <w:shd w:val="clear" w:color="auto" w:fill="FFFFFF"/>
        <w:spacing w:before="80" w:after="80" w:line="240" w:lineRule="auto"/>
        <w:ind w:left="142" w:hanging="284"/>
        <w:outlineLvl w:val="0"/>
        <w:rPr>
          <w:rFonts w:ascii="Arial" w:hAnsi="Arial" w:cs="Arial"/>
          <w:color w:val="000000" w:themeColor="text1"/>
          <w:sz w:val="24"/>
          <w:szCs w:val="24"/>
          <w:lang w:val="en-GB"/>
        </w:rPr>
      </w:pPr>
      <w:r w:rsidRPr="008165B3">
        <w:rPr>
          <w:rFonts w:ascii="Arial" w:hAnsi="Arial" w:cs="Arial"/>
          <w:color w:val="000000" w:themeColor="text1"/>
          <w:sz w:val="24"/>
          <w:szCs w:val="24"/>
          <w:lang w:val="en-GB"/>
        </w:rPr>
        <w:t>How can organizations</w:t>
      </w:r>
      <w:r w:rsidR="005D2D48" w:rsidRPr="008165B3">
        <w:rPr>
          <w:rFonts w:ascii="Arial" w:hAnsi="Arial" w:cs="Arial"/>
          <w:color w:val="000000" w:themeColor="text1"/>
          <w:sz w:val="24"/>
          <w:szCs w:val="24"/>
          <w:lang w:val="en-GB"/>
        </w:rPr>
        <w:t xml:space="preserve"> be classified?</w:t>
      </w:r>
    </w:p>
    <w:p w:rsidR="005D2D48" w:rsidRPr="008165B3" w:rsidRDefault="005D2D48" w:rsidP="008165B3">
      <w:pPr>
        <w:pStyle w:val="Paragraphedeliste"/>
        <w:numPr>
          <w:ilvl w:val="0"/>
          <w:numId w:val="3"/>
        </w:numPr>
        <w:shd w:val="clear" w:color="auto" w:fill="FFFFFF"/>
        <w:spacing w:before="80" w:after="80" w:line="240" w:lineRule="auto"/>
        <w:ind w:left="142" w:hanging="284"/>
        <w:outlineLvl w:val="0"/>
        <w:rPr>
          <w:rFonts w:ascii="Arial" w:hAnsi="Arial" w:cs="Arial"/>
          <w:color w:val="000000" w:themeColor="text1"/>
          <w:sz w:val="24"/>
          <w:szCs w:val="24"/>
          <w:lang w:val="en-GB"/>
        </w:rPr>
      </w:pPr>
      <w:r w:rsidRPr="008165B3">
        <w:rPr>
          <w:rFonts w:ascii="Arial" w:hAnsi="Arial" w:cs="Arial"/>
          <w:color w:val="000000" w:themeColor="text1"/>
          <w:sz w:val="24"/>
          <w:szCs w:val="24"/>
          <w:lang w:val="en-GB"/>
        </w:rPr>
        <w:t>Give examples of for-profit and non-profit organizations?</w:t>
      </w:r>
    </w:p>
    <w:p w:rsidR="005D2D48" w:rsidRPr="008165B3" w:rsidRDefault="005D2D48" w:rsidP="008165B3">
      <w:pPr>
        <w:pStyle w:val="Paragraphedeliste"/>
        <w:numPr>
          <w:ilvl w:val="0"/>
          <w:numId w:val="3"/>
        </w:numPr>
        <w:shd w:val="clear" w:color="auto" w:fill="FFFFFF"/>
        <w:spacing w:before="80" w:after="80" w:line="240" w:lineRule="auto"/>
        <w:ind w:left="142" w:hanging="284"/>
        <w:outlineLvl w:val="0"/>
        <w:rPr>
          <w:rFonts w:ascii="Arial" w:hAnsi="Arial" w:cs="Arial"/>
          <w:color w:val="000000" w:themeColor="text1"/>
          <w:sz w:val="24"/>
          <w:szCs w:val="24"/>
          <w:lang w:val="en-GB"/>
        </w:rPr>
      </w:pPr>
      <w:r w:rsidRPr="008165B3">
        <w:rPr>
          <w:rFonts w:ascii="Arial" w:hAnsi="Arial" w:cs="Arial"/>
          <w:color w:val="000000" w:themeColor="text1"/>
          <w:sz w:val="24"/>
          <w:szCs w:val="24"/>
          <w:lang w:val="en-GB"/>
        </w:rPr>
        <w:t>What are the main differences?</w:t>
      </w:r>
    </w:p>
    <w:sectPr w:rsidR="005D2D48" w:rsidRPr="008165B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FF7" w:rsidRDefault="00BF1FF7" w:rsidP="008165B3">
      <w:pPr>
        <w:spacing w:after="0" w:line="240" w:lineRule="auto"/>
      </w:pPr>
      <w:r>
        <w:separator/>
      </w:r>
    </w:p>
  </w:endnote>
  <w:endnote w:type="continuationSeparator" w:id="0">
    <w:p w:rsidR="00BF1FF7" w:rsidRDefault="00BF1FF7" w:rsidP="00816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FF7" w:rsidRDefault="00BF1FF7" w:rsidP="008165B3">
      <w:pPr>
        <w:spacing w:after="0" w:line="240" w:lineRule="auto"/>
      </w:pPr>
      <w:r>
        <w:separator/>
      </w:r>
    </w:p>
  </w:footnote>
  <w:footnote w:type="continuationSeparator" w:id="0">
    <w:p w:rsidR="00BF1FF7" w:rsidRDefault="00BF1FF7" w:rsidP="00816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5B3" w:rsidRDefault="008165B3" w:rsidP="008165B3">
    <w:pPr>
      <w:pStyle w:val="En-tte"/>
    </w:pPr>
    <w:r>
      <w:t>ETLV – Série STMG</w:t>
    </w:r>
  </w:p>
  <w:p w:rsidR="008165B3" w:rsidRDefault="008165B3" w:rsidP="008165B3">
    <w:pPr>
      <w:pStyle w:val="En-tte"/>
    </w:pPr>
    <w:r>
      <w:t>Identités et échanges</w:t>
    </w:r>
  </w:p>
  <w:p w:rsidR="008165B3" w:rsidRDefault="008165B3" w:rsidP="008165B3">
    <w:pPr>
      <w:pStyle w:val="En-tte"/>
    </w:pPr>
    <w:r>
      <w:t>Annexe 4</w:t>
    </w:r>
  </w:p>
  <w:p w:rsidR="008165B3" w:rsidRDefault="008165B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0A7F"/>
    <w:multiLevelType w:val="hybridMultilevel"/>
    <w:tmpl w:val="23EC5D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C826726"/>
    <w:multiLevelType w:val="hybridMultilevel"/>
    <w:tmpl w:val="9E803E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4383399"/>
    <w:multiLevelType w:val="multilevel"/>
    <w:tmpl w:val="4FA4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342DDD"/>
    <w:multiLevelType w:val="multilevel"/>
    <w:tmpl w:val="7C38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48"/>
    <w:rsid w:val="00143F3C"/>
    <w:rsid w:val="00283162"/>
    <w:rsid w:val="00314C5F"/>
    <w:rsid w:val="005D2D48"/>
    <w:rsid w:val="00696E07"/>
    <w:rsid w:val="006B6B41"/>
    <w:rsid w:val="0079478F"/>
    <w:rsid w:val="008165B3"/>
    <w:rsid w:val="00BF1FF7"/>
    <w:rsid w:val="00DC66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B8A2C-6842-4EDC-923A-FA582B18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5D2D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2D48"/>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5D2D4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ucontent-glossaryterm-styling">
    <w:name w:val="oucontent-glossaryterm-styling"/>
    <w:basedOn w:val="Policepardfaut"/>
    <w:rsid w:val="005D2D48"/>
  </w:style>
  <w:style w:type="paragraph" w:styleId="Paragraphedeliste">
    <w:name w:val="List Paragraph"/>
    <w:basedOn w:val="Normal"/>
    <w:uiPriority w:val="34"/>
    <w:qFormat/>
    <w:rsid w:val="005D2D48"/>
    <w:pPr>
      <w:ind w:left="720"/>
      <w:contextualSpacing/>
    </w:pPr>
  </w:style>
  <w:style w:type="paragraph" w:styleId="En-tte">
    <w:name w:val="header"/>
    <w:basedOn w:val="Normal"/>
    <w:link w:val="En-tteCar"/>
    <w:uiPriority w:val="99"/>
    <w:unhideWhenUsed/>
    <w:rsid w:val="008165B3"/>
    <w:pPr>
      <w:tabs>
        <w:tab w:val="center" w:pos="4536"/>
        <w:tab w:val="right" w:pos="9072"/>
      </w:tabs>
      <w:spacing w:after="0" w:line="240" w:lineRule="auto"/>
    </w:pPr>
  </w:style>
  <w:style w:type="character" w:customStyle="1" w:styleId="En-tteCar">
    <w:name w:val="En-tête Car"/>
    <w:basedOn w:val="Policepardfaut"/>
    <w:link w:val="En-tte"/>
    <w:uiPriority w:val="99"/>
    <w:rsid w:val="008165B3"/>
  </w:style>
  <w:style w:type="paragraph" w:styleId="Pieddepage">
    <w:name w:val="footer"/>
    <w:basedOn w:val="Normal"/>
    <w:link w:val="PieddepageCar"/>
    <w:uiPriority w:val="99"/>
    <w:unhideWhenUsed/>
    <w:rsid w:val="008165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6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090146">
      <w:bodyDiv w:val="1"/>
      <w:marLeft w:val="0"/>
      <w:marRight w:val="0"/>
      <w:marTop w:val="0"/>
      <w:marBottom w:val="0"/>
      <w:divBdr>
        <w:top w:val="none" w:sz="0" w:space="0" w:color="auto"/>
        <w:left w:val="none" w:sz="0" w:space="0" w:color="auto"/>
        <w:bottom w:val="none" w:sz="0" w:space="0" w:color="auto"/>
        <w:right w:val="none" w:sz="0" w:space="0" w:color="auto"/>
      </w:divBdr>
    </w:div>
    <w:div w:id="195339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edu/openlearn/money-management/organisations-and-management-accounting/content-section--glossary" TargetMode="External"/><Relationship Id="rId3" Type="http://schemas.openxmlformats.org/officeDocument/2006/relationships/settings" Target="settings.xml"/><Relationship Id="rId7" Type="http://schemas.openxmlformats.org/officeDocument/2006/relationships/hyperlink" Target="http://www.open.edu/openlearn/money-management/organisations-and-management-accounting/content-section--gloss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pen.edu/openlearn/money-management/organisations-and-management-accounting/content-section--glossar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362</Words>
  <Characters>1992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landre</cp:lastModifiedBy>
  <cp:revision>4</cp:revision>
  <cp:lastPrinted>2018-09-09T16:02:00Z</cp:lastPrinted>
  <dcterms:created xsi:type="dcterms:W3CDTF">2019-07-11T15:40:00Z</dcterms:created>
  <dcterms:modified xsi:type="dcterms:W3CDTF">2019-09-10T06:59:00Z</dcterms:modified>
</cp:coreProperties>
</file>