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4957" w14:textId="77777777" w:rsidR="002F6DE4" w:rsidRPr="007445DA" w:rsidRDefault="002001D2" w:rsidP="007445DA">
      <w:pPr>
        <w:spacing w:line="360" w:lineRule="auto"/>
        <w:rPr>
          <w:rFonts w:ascii="Arial" w:hAnsi="Arial" w:cs="Arial"/>
          <w:b/>
          <w:bCs/>
          <w:u w:val="single"/>
        </w:rPr>
      </w:pPr>
      <w:r w:rsidRPr="007445DA">
        <w:rPr>
          <w:rFonts w:ascii="Arial" w:hAnsi="Arial" w:cs="Arial"/>
          <w:b/>
          <w:bCs/>
          <w:u w:val="single"/>
        </w:rPr>
        <w:t>Corpus n°2 : L’après Seconde Guerre mondiale, « Controverse Fischer » et différentes causes étudiées</w:t>
      </w:r>
      <w:r w:rsidR="00200D80" w:rsidRPr="007445DA">
        <w:rPr>
          <w:rFonts w:ascii="Arial" w:hAnsi="Arial" w:cs="Arial"/>
          <w:b/>
          <w:bCs/>
          <w:u w:val="single"/>
        </w:rPr>
        <w:t xml:space="preserve"> des années 1945 aux années 1980</w:t>
      </w:r>
    </w:p>
    <w:p w14:paraId="56356885" w14:textId="77777777" w:rsidR="00200D80" w:rsidRPr="007445DA" w:rsidRDefault="00200D80" w:rsidP="007445DA">
      <w:pPr>
        <w:spacing w:line="360" w:lineRule="auto"/>
        <w:rPr>
          <w:rFonts w:ascii="Arial" w:hAnsi="Arial" w:cs="Arial"/>
          <w:u w:val="single"/>
        </w:rPr>
      </w:pPr>
      <w:r w:rsidRPr="007445DA">
        <w:rPr>
          <w:rFonts w:ascii="Arial" w:hAnsi="Arial" w:cs="Arial"/>
          <w:u w:val="single"/>
        </w:rPr>
        <w:t>Document 1 : Les études historiques en Allemagne après 1945</w:t>
      </w:r>
    </w:p>
    <w:p w14:paraId="09342247" w14:textId="10809FC5" w:rsidR="00200D80" w:rsidRPr="007445DA" w:rsidRDefault="00200D80" w:rsidP="007445DA">
      <w:pPr>
        <w:spacing w:line="360" w:lineRule="auto"/>
        <w:jc w:val="both"/>
        <w:rPr>
          <w:rFonts w:ascii="Arial" w:hAnsi="Arial" w:cs="Arial"/>
        </w:rPr>
      </w:pPr>
      <w:r w:rsidRPr="007445DA">
        <w:rPr>
          <w:rFonts w:ascii="Arial" w:hAnsi="Arial" w:cs="Arial"/>
        </w:rPr>
        <w:t>« Les épreuves et les résultats de la Seconde Guerre mondiale n'ont pas sensiblement modifié les interprétations des historiens allemands, du moins en Allemagne occidentale. Le problème qui leur paraît essentiel est d'établir une nette distinction entre les deux guerres qui ont ravagé l'Europe : il n'y a pas de point commun entre la volonté de domination et de destruction de Hitler, qui doit être considéré dans l'histoire allemande comme un fait aberrant et qu'il faut rattacher à la vague fasciste qui a déferlé sur l'Europe, d'une part, et les hommes d'État responsables qui ont présidé en 1914 aux destinées de l'Europe, d'autre part. »</w:t>
      </w:r>
      <w:r w:rsidR="007445DA">
        <w:rPr>
          <w:rFonts w:ascii="Arial" w:hAnsi="Arial" w:cs="Arial"/>
        </w:rPr>
        <w:t xml:space="preserve"> </w:t>
      </w:r>
      <w:r w:rsidRPr="007445DA">
        <w:rPr>
          <w:rFonts w:ascii="Arial" w:hAnsi="Arial" w:cs="Arial"/>
          <w:color w:val="222222"/>
        </w:rPr>
        <w:t xml:space="preserve">D’après Jacques Droz, </w:t>
      </w:r>
      <w:r w:rsidRPr="007445DA">
        <w:rPr>
          <w:rFonts w:ascii="Arial" w:hAnsi="Arial" w:cs="Arial"/>
          <w:i/>
          <w:iCs/>
          <w:color w:val="222222"/>
        </w:rPr>
        <w:t>Les causes de la Première Guerre mondiale. Essai d’historiographie,</w:t>
      </w:r>
      <w:r w:rsidRPr="007445DA">
        <w:rPr>
          <w:rFonts w:ascii="Arial" w:hAnsi="Arial" w:cs="Arial"/>
          <w:color w:val="222222"/>
        </w:rPr>
        <w:t xml:space="preserve"> Paris, Seuil, 1973</w:t>
      </w:r>
      <w:r w:rsidR="00E31A60" w:rsidRPr="007445DA">
        <w:rPr>
          <w:rFonts w:ascii="Arial" w:hAnsi="Arial" w:cs="Arial"/>
          <w:color w:val="222222"/>
        </w:rPr>
        <w:t>.</w:t>
      </w:r>
    </w:p>
    <w:p w14:paraId="3013A608" w14:textId="5B1C8B30" w:rsidR="00200D80" w:rsidRPr="007445DA" w:rsidRDefault="00200D80" w:rsidP="007445DA">
      <w:pPr>
        <w:spacing w:line="360" w:lineRule="auto"/>
        <w:rPr>
          <w:rFonts w:ascii="Arial" w:hAnsi="Arial" w:cs="Arial"/>
        </w:rPr>
      </w:pPr>
      <w:r w:rsidRPr="007445DA">
        <w:rPr>
          <w:rFonts w:ascii="Arial" w:hAnsi="Arial" w:cs="Arial"/>
          <w:u w:val="single"/>
        </w:rPr>
        <w:t xml:space="preserve">Document </w:t>
      </w:r>
      <w:r w:rsidR="00E31A60" w:rsidRPr="007445DA">
        <w:rPr>
          <w:rFonts w:ascii="Arial" w:hAnsi="Arial" w:cs="Arial"/>
          <w:u w:val="single"/>
        </w:rPr>
        <w:t>2 (</w:t>
      </w:r>
      <w:r w:rsidRPr="007445DA">
        <w:rPr>
          <w:rFonts w:ascii="Arial" w:hAnsi="Arial" w:cs="Arial"/>
          <w:u w:val="single"/>
        </w:rPr>
        <w:t>vidéo</w:t>
      </w:r>
      <w:r w:rsidR="00E31A60" w:rsidRPr="007445DA">
        <w:rPr>
          <w:rFonts w:ascii="Arial" w:hAnsi="Arial" w:cs="Arial"/>
          <w:u w:val="single"/>
        </w:rPr>
        <w:t>)</w:t>
      </w:r>
      <w:r w:rsidRPr="007445DA">
        <w:rPr>
          <w:rFonts w:ascii="Arial" w:hAnsi="Arial" w:cs="Arial"/>
          <w:b/>
          <w:bCs/>
        </w:rPr>
        <w:t xml:space="preserve"> : </w:t>
      </w:r>
      <w:r w:rsidRPr="007445DA">
        <w:rPr>
          <w:rFonts w:ascii="Arial" w:hAnsi="Arial" w:cs="Arial"/>
        </w:rPr>
        <w:t xml:space="preserve">Extrait de la conférence de l’historien Stanislas </w:t>
      </w:r>
      <w:proofErr w:type="spellStart"/>
      <w:r w:rsidRPr="007445DA">
        <w:rPr>
          <w:rFonts w:ascii="Arial" w:hAnsi="Arial" w:cs="Arial"/>
        </w:rPr>
        <w:t>Jeanneson</w:t>
      </w:r>
      <w:proofErr w:type="spellEnd"/>
      <w:r w:rsidRPr="007445DA">
        <w:rPr>
          <w:rFonts w:ascii="Arial" w:hAnsi="Arial" w:cs="Arial"/>
        </w:rPr>
        <w:t xml:space="preserve">, sur la controverse Fischer et sur les travaux sur les causes de la Première Guerre mondiale dans les années 1960 et 1970 </w:t>
      </w:r>
      <w:hyperlink r:id="rId5" w:history="1">
        <w:r w:rsidRPr="007445DA">
          <w:rPr>
            <w:rStyle w:val="Lienhypertexte"/>
            <w:rFonts w:ascii="Arial" w:hAnsi="Arial" w:cs="Arial"/>
          </w:rPr>
          <w:t>https://youtu.be/am62S6SaMxk?t=2396</w:t>
        </w:r>
      </w:hyperlink>
      <w:r w:rsidRPr="007445DA">
        <w:rPr>
          <w:rFonts w:ascii="Arial" w:hAnsi="Arial" w:cs="Arial"/>
        </w:rPr>
        <w:t xml:space="preserve"> (de 39’56</w:t>
      </w:r>
      <w:r w:rsidR="00E31A60" w:rsidRPr="007445DA">
        <w:rPr>
          <w:rFonts w:ascii="Arial" w:hAnsi="Arial" w:cs="Arial"/>
        </w:rPr>
        <w:t>’’</w:t>
      </w:r>
      <w:r w:rsidRPr="007445DA">
        <w:rPr>
          <w:rFonts w:ascii="Arial" w:hAnsi="Arial" w:cs="Arial"/>
        </w:rPr>
        <w:t xml:space="preserve"> à 50’ environ)</w:t>
      </w:r>
    </w:p>
    <w:p w14:paraId="7CD54922" w14:textId="708A6B83" w:rsidR="003D2C37" w:rsidRPr="007445DA" w:rsidRDefault="003D2C37" w:rsidP="007445DA">
      <w:pPr>
        <w:spacing w:line="360" w:lineRule="auto"/>
        <w:rPr>
          <w:rFonts w:ascii="Arial" w:hAnsi="Arial" w:cs="Arial"/>
          <w:u w:val="single"/>
        </w:rPr>
      </w:pPr>
      <w:r w:rsidRPr="007445DA">
        <w:rPr>
          <w:rFonts w:ascii="Arial" w:hAnsi="Arial" w:cs="Arial"/>
          <w:u w:val="single"/>
        </w:rPr>
        <w:t xml:space="preserve">Document 3 : La vision de l’historien allemand </w:t>
      </w:r>
      <w:r w:rsidR="00E31A60" w:rsidRPr="007445DA">
        <w:rPr>
          <w:rFonts w:ascii="Arial" w:hAnsi="Arial" w:cs="Arial"/>
          <w:u w:val="single"/>
        </w:rPr>
        <w:t xml:space="preserve">Fritz </w:t>
      </w:r>
      <w:r w:rsidRPr="007445DA">
        <w:rPr>
          <w:rFonts w:ascii="Arial" w:hAnsi="Arial" w:cs="Arial"/>
          <w:u w:val="single"/>
        </w:rPr>
        <w:t>Fischer</w:t>
      </w:r>
    </w:p>
    <w:p w14:paraId="1D63A174" w14:textId="4194238F" w:rsidR="003D2C37" w:rsidRPr="007445DA" w:rsidRDefault="00E31A60" w:rsidP="007445DA">
      <w:pPr>
        <w:spacing w:line="360" w:lineRule="auto"/>
        <w:jc w:val="both"/>
        <w:rPr>
          <w:rFonts w:ascii="Arial" w:hAnsi="Arial" w:cs="Arial"/>
        </w:rPr>
      </w:pPr>
      <w:r w:rsidRPr="007445DA">
        <w:rPr>
          <w:rFonts w:ascii="Arial" w:hAnsi="Arial" w:cs="Arial"/>
        </w:rPr>
        <w:t>« </w:t>
      </w:r>
      <w:r w:rsidR="003D2C37" w:rsidRPr="007445DA">
        <w:rPr>
          <w:rFonts w:ascii="Arial" w:hAnsi="Arial" w:cs="Arial"/>
        </w:rPr>
        <w:t>La puissance industrielle de l'Allemagne était la plus forte du continent et elle-même était</w:t>
      </w:r>
      <w:r w:rsidRPr="007445DA">
        <w:rPr>
          <w:rFonts w:ascii="Arial" w:hAnsi="Arial" w:cs="Arial"/>
        </w:rPr>
        <w:t xml:space="preserve"> </w:t>
      </w:r>
      <w:r w:rsidR="003D2C37" w:rsidRPr="007445DA">
        <w:rPr>
          <w:rFonts w:ascii="Arial" w:hAnsi="Arial" w:cs="Arial"/>
        </w:rPr>
        <w:t xml:space="preserve">consciente de posséder des structures politiques et une tradition culturelle originale qui se distinguait à la fois de la démocratie occidentale et du despotisme oriental. L'Allemagne avait entrepris de se hausser de la position de grande puissance que Bismarck lui avait assurée au sein de l'Europe jusqu'à celle « puissance mondiale ». Mais cette politique avait abouti, en l'espace de dix ans (1897-1907) à une </w:t>
      </w:r>
      <w:r w:rsidRPr="007445DA">
        <w:rPr>
          <w:rFonts w:ascii="Arial" w:hAnsi="Arial" w:cs="Arial"/>
        </w:rPr>
        <w:t>impasse :</w:t>
      </w:r>
      <w:r w:rsidR="003D2C37" w:rsidRPr="007445DA">
        <w:rPr>
          <w:rFonts w:ascii="Arial" w:hAnsi="Arial" w:cs="Arial"/>
        </w:rPr>
        <w:t xml:space="preserve"> l'empire allemand, isolé par sa propre faute, éprouvait cet isolement comme un « encerclement », un « corset de fer ».</w:t>
      </w:r>
    </w:p>
    <w:p w14:paraId="12359B9C" w14:textId="05A9CF07" w:rsidR="003D2C37" w:rsidRPr="007445DA" w:rsidRDefault="003D2C37" w:rsidP="007445DA">
      <w:pPr>
        <w:spacing w:line="360" w:lineRule="auto"/>
        <w:jc w:val="both"/>
        <w:rPr>
          <w:rFonts w:ascii="Arial" w:hAnsi="Arial" w:cs="Arial"/>
        </w:rPr>
      </w:pPr>
      <w:r w:rsidRPr="007445DA">
        <w:rPr>
          <w:rFonts w:ascii="Arial" w:hAnsi="Arial" w:cs="Arial"/>
        </w:rPr>
        <w:t xml:space="preserve">Dès lors l'éclatement de l'Entente devint le but principal de l'empire. Obtenir « la liberté de ses mouvements » était pour l'Allemagne la condition de toute extension ultérieure et de son accession définitive au rang de puissance mondiale. Si elle n'obtenait pas cette « liberté », l'Allemagne n'aurait plus qu'à abdiquer tout rôle dans le monde. Telle était la conviction profonde de la « nation ». Pour ne citer qu'un représentant de l'élite intellectuelle allemande, Max Weber en était persuadé. Et la même pensée était exprimée par le général </w:t>
      </w:r>
      <w:proofErr w:type="spellStart"/>
      <w:r w:rsidRPr="007445DA">
        <w:rPr>
          <w:rFonts w:ascii="Arial" w:hAnsi="Arial" w:cs="Arial"/>
        </w:rPr>
        <w:t>Bernhardi</w:t>
      </w:r>
      <w:proofErr w:type="spellEnd"/>
      <w:r w:rsidRPr="007445DA">
        <w:rPr>
          <w:rFonts w:ascii="Arial" w:hAnsi="Arial" w:cs="Arial"/>
        </w:rPr>
        <w:t xml:space="preserve"> – qui jouissait alors d'une haute considération et qui élaborait les conceptions des chefs militaires de l'Allemagne impériale – dans son livre, réédité six fois jusqu'en 1914 :</w:t>
      </w:r>
      <w:r w:rsidRPr="007445DA">
        <w:rPr>
          <w:rFonts w:ascii="Arial" w:hAnsi="Arial" w:cs="Arial"/>
          <w:i/>
          <w:iCs/>
        </w:rPr>
        <w:t> L’Allemagne et la prochaine guerre</w:t>
      </w:r>
      <w:r w:rsidRPr="007445DA">
        <w:rPr>
          <w:rFonts w:ascii="Arial" w:hAnsi="Arial" w:cs="Arial"/>
        </w:rPr>
        <w:t>, qui contenait ce slogan souvent répété, « Puissance mondiale ou décadence » (</w:t>
      </w:r>
      <w:proofErr w:type="spellStart"/>
      <w:r w:rsidRPr="007445DA">
        <w:rPr>
          <w:rFonts w:ascii="Arial" w:hAnsi="Arial" w:cs="Arial"/>
          <w:i/>
          <w:iCs/>
          <w:u w:val="single"/>
        </w:rPr>
        <w:t>Weltmacht</w:t>
      </w:r>
      <w:proofErr w:type="spellEnd"/>
      <w:r w:rsidRPr="007445DA">
        <w:rPr>
          <w:rFonts w:ascii="Arial" w:hAnsi="Arial" w:cs="Arial"/>
          <w:i/>
          <w:iCs/>
          <w:u w:val="single"/>
        </w:rPr>
        <w:t xml:space="preserve"> </w:t>
      </w:r>
      <w:proofErr w:type="spellStart"/>
      <w:r w:rsidRPr="007445DA">
        <w:rPr>
          <w:rFonts w:ascii="Arial" w:hAnsi="Arial" w:cs="Arial"/>
          <w:i/>
          <w:iCs/>
          <w:u w:val="single"/>
        </w:rPr>
        <w:t>oder</w:t>
      </w:r>
      <w:proofErr w:type="spellEnd"/>
      <w:r w:rsidRPr="007445DA">
        <w:rPr>
          <w:rFonts w:ascii="Arial" w:hAnsi="Arial" w:cs="Arial"/>
          <w:i/>
          <w:iCs/>
          <w:u w:val="single"/>
        </w:rPr>
        <w:t xml:space="preserve"> </w:t>
      </w:r>
      <w:proofErr w:type="spellStart"/>
      <w:r w:rsidRPr="007445DA">
        <w:rPr>
          <w:rFonts w:ascii="Arial" w:hAnsi="Arial" w:cs="Arial"/>
          <w:i/>
          <w:iCs/>
          <w:u w:val="single"/>
        </w:rPr>
        <w:t>Niedergang</w:t>
      </w:r>
      <w:proofErr w:type="spellEnd"/>
      <w:r w:rsidRPr="007445DA">
        <w:rPr>
          <w:rFonts w:ascii="Arial" w:hAnsi="Arial" w:cs="Arial"/>
        </w:rPr>
        <w:t>). C'est forte de cette devise que la « nation » voulait lutter et vaincre.</w:t>
      </w:r>
      <w:r w:rsidR="00E31A60" w:rsidRPr="007445DA">
        <w:rPr>
          <w:rFonts w:ascii="Arial" w:hAnsi="Arial" w:cs="Arial"/>
        </w:rPr>
        <w:t> »</w:t>
      </w:r>
    </w:p>
    <w:p w14:paraId="2D9F798D" w14:textId="77777777" w:rsidR="003D2C37" w:rsidRPr="007445DA" w:rsidRDefault="003D2C37" w:rsidP="007445DA">
      <w:pPr>
        <w:spacing w:line="360" w:lineRule="auto"/>
        <w:jc w:val="both"/>
        <w:rPr>
          <w:rFonts w:ascii="Arial" w:hAnsi="Arial" w:cs="Arial"/>
        </w:rPr>
      </w:pPr>
      <w:r w:rsidRPr="007445DA">
        <w:rPr>
          <w:rFonts w:ascii="Arial" w:hAnsi="Arial" w:cs="Arial"/>
        </w:rPr>
        <w:t xml:space="preserve">F. FISCHER, Colloque franco-allemand, </w:t>
      </w:r>
      <w:r w:rsidRPr="007445DA">
        <w:rPr>
          <w:rFonts w:ascii="Arial" w:hAnsi="Arial" w:cs="Arial"/>
          <w:i/>
          <w:iCs/>
        </w:rPr>
        <w:t>Historiens et Géographes</w:t>
      </w:r>
      <w:r w:rsidRPr="007445DA">
        <w:rPr>
          <w:rFonts w:ascii="Arial" w:hAnsi="Arial" w:cs="Arial"/>
        </w:rPr>
        <w:t>, août 1966, cité dans le manuel d’histoire de Première dirigé par Jacques Marseille, Nathan, 1988.</w:t>
      </w:r>
    </w:p>
    <w:p w14:paraId="5A06F3CF" w14:textId="77777777" w:rsidR="003D2C37" w:rsidRPr="007445DA" w:rsidRDefault="003D2C37" w:rsidP="007445DA">
      <w:pPr>
        <w:spacing w:line="360" w:lineRule="auto"/>
        <w:jc w:val="both"/>
        <w:rPr>
          <w:rFonts w:ascii="Arial" w:hAnsi="Arial" w:cs="Arial"/>
          <w:u w:val="single"/>
        </w:rPr>
      </w:pPr>
      <w:r w:rsidRPr="007445DA">
        <w:rPr>
          <w:rFonts w:ascii="Arial" w:hAnsi="Arial" w:cs="Arial"/>
          <w:u w:val="single"/>
        </w:rPr>
        <w:t>Document 4 : la vision de l’historien allemand</w:t>
      </w:r>
      <w:r w:rsidR="00132924" w:rsidRPr="007445DA">
        <w:rPr>
          <w:rFonts w:ascii="Arial" w:hAnsi="Arial" w:cs="Arial"/>
          <w:u w:val="single"/>
        </w:rPr>
        <w:t xml:space="preserve"> </w:t>
      </w:r>
      <w:proofErr w:type="spellStart"/>
      <w:r w:rsidR="00132924" w:rsidRPr="007445DA">
        <w:rPr>
          <w:rFonts w:ascii="Arial" w:hAnsi="Arial" w:cs="Arial"/>
          <w:u w:val="single"/>
        </w:rPr>
        <w:t>Erdmann</w:t>
      </w:r>
      <w:proofErr w:type="spellEnd"/>
    </w:p>
    <w:p w14:paraId="1A3387F9" w14:textId="307EDEBC" w:rsidR="003D2C37" w:rsidRPr="007445DA" w:rsidRDefault="00DD4DDB" w:rsidP="007445DA">
      <w:pPr>
        <w:spacing w:line="360" w:lineRule="auto"/>
        <w:jc w:val="both"/>
        <w:rPr>
          <w:rFonts w:ascii="Arial" w:hAnsi="Arial" w:cs="Arial"/>
        </w:rPr>
      </w:pPr>
      <w:r w:rsidRPr="007445DA">
        <w:rPr>
          <w:rFonts w:ascii="Arial" w:hAnsi="Arial" w:cs="Arial"/>
        </w:rPr>
        <w:t>« </w:t>
      </w:r>
      <w:r w:rsidR="003D2C37" w:rsidRPr="007445DA">
        <w:rPr>
          <w:rFonts w:ascii="Arial" w:hAnsi="Arial" w:cs="Arial"/>
        </w:rPr>
        <w:t xml:space="preserve">On ne peut pas dire qu'une « volonté de puissance mondiale » déterminait la politique du chancelier Bethmann-Hollweg [..]. Ce qui déterminait sa politique extérieure était la recherche du prestige et non un </w:t>
      </w:r>
      <w:r w:rsidR="003D2C37" w:rsidRPr="007445DA">
        <w:rPr>
          <w:rFonts w:ascii="Arial" w:hAnsi="Arial" w:cs="Arial"/>
        </w:rPr>
        <w:lastRenderedPageBreak/>
        <w:t xml:space="preserve">désir de conquête. L'Allemagne aurait pu éviter la </w:t>
      </w:r>
      <w:r w:rsidR="00E31A60" w:rsidRPr="007445DA">
        <w:rPr>
          <w:rFonts w:ascii="Arial" w:hAnsi="Arial" w:cs="Arial"/>
        </w:rPr>
        <w:t>g</w:t>
      </w:r>
      <w:r w:rsidR="003D2C37" w:rsidRPr="007445DA">
        <w:rPr>
          <w:rFonts w:ascii="Arial" w:hAnsi="Arial" w:cs="Arial"/>
        </w:rPr>
        <w:t xml:space="preserve">uerre si elle avait été prête à payer le prix de la paix. Cela signifiait : abandonner l'Autriche, renoncer aux relations étroites qu'elle entretenait avec son seul allié, renoncer à la position qu'elle possédait jusqu'à présent parmi les grandes puissances de l'Europe. Mais cela est aussi valable pour les autres puissances. Chaque État engagé dans la crise de juillet 1914 aurait pu sauvegarder la paix européenne s'il avait été prêt à en payer le prix par l'abandon d'intérêts réels ou présumés : l'Autriche, si elle avait renoncé à laver l'humiliation de la Serbie ; la Russie si elle avait renoncé à assurer la Serbie de sa protection ; la France, si elle avait fait savoir à la Russie qu'elle ne considérait le </w:t>
      </w:r>
      <w:r w:rsidR="003D2C37" w:rsidRPr="007445DA">
        <w:rPr>
          <w:rFonts w:ascii="Arial" w:hAnsi="Arial" w:cs="Arial"/>
          <w:i/>
          <w:iCs/>
        </w:rPr>
        <w:t>casus belli</w:t>
      </w:r>
      <w:r w:rsidR="003D2C37" w:rsidRPr="007445DA">
        <w:rPr>
          <w:rFonts w:ascii="Arial" w:hAnsi="Arial" w:cs="Arial"/>
        </w:rPr>
        <w:t xml:space="preserve"> comme ne s'appliquant qu'en cas de défensive; l'Angleterre, si</w:t>
      </w:r>
      <w:r w:rsidR="00132924" w:rsidRPr="007445DA">
        <w:rPr>
          <w:rFonts w:ascii="Arial" w:hAnsi="Arial" w:cs="Arial"/>
        </w:rPr>
        <w:t xml:space="preserve"> </w:t>
      </w:r>
      <w:r w:rsidR="003D2C37" w:rsidRPr="007445DA">
        <w:rPr>
          <w:rFonts w:ascii="Arial" w:hAnsi="Arial" w:cs="Arial"/>
        </w:rPr>
        <w:t>elle avait promis sa neutralité dans le conflit. Étant donné la</w:t>
      </w:r>
      <w:r w:rsidR="00132924" w:rsidRPr="007445DA">
        <w:rPr>
          <w:rFonts w:ascii="Arial" w:hAnsi="Arial" w:cs="Arial"/>
        </w:rPr>
        <w:t xml:space="preserve"> </w:t>
      </w:r>
      <w:r w:rsidR="003D2C37" w:rsidRPr="007445DA">
        <w:rPr>
          <w:rFonts w:ascii="Arial" w:hAnsi="Arial" w:cs="Arial"/>
        </w:rPr>
        <w:t>situation en 1914 et l'influence des idées nationalistes et impérialistes de l'époque, on comprend du point de vue historique,</w:t>
      </w:r>
      <w:r w:rsidR="00132924" w:rsidRPr="007445DA">
        <w:rPr>
          <w:rFonts w:ascii="Arial" w:hAnsi="Arial" w:cs="Arial"/>
        </w:rPr>
        <w:t xml:space="preserve"> </w:t>
      </w:r>
      <w:r w:rsidR="003D2C37" w:rsidRPr="007445DA">
        <w:rPr>
          <w:rFonts w:ascii="Arial" w:hAnsi="Arial" w:cs="Arial"/>
        </w:rPr>
        <w:t>qu'aucune puissance ne fit ce geste, que personne ne voulait la</w:t>
      </w:r>
      <w:r w:rsidR="00132924" w:rsidRPr="007445DA">
        <w:rPr>
          <w:rFonts w:ascii="Arial" w:hAnsi="Arial" w:cs="Arial"/>
        </w:rPr>
        <w:t xml:space="preserve"> </w:t>
      </w:r>
      <w:r w:rsidR="003D2C37" w:rsidRPr="007445DA">
        <w:rPr>
          <w:rFonts w:ascii="Arial" w:hAnsi="Arial" w:cs="Arial"/>
        </w:rPr>
        <w:t>guerre mais que personne non plus n'était prêt à payer le prix de</w:t>
      </w:r>
      <w:r w:rsidR="00132924" w:rsidRPr="007445DA">
        <w:rPr>
          <w:rFonts w:ascii="Arial" w:hAnsi="Arial" w:cs="Arial"/>
        </w:rPr>
        <w:t xml:space="preserve"> </w:t>
      </w:r>
      <w:r w:rsidR="003D2C37" w:rsidRPr="007445DA">
        <w:rPr>
          <w:rFonts w:ascii="Arial" w:hAnsi="Arial" w:cs="Arial"/>
        </w:rPr>
        <w:t>la paix. Qu'aucun des responsables n'ait pu se soustraire à la</w:t>
      </w:r>
      <w:r w:rsidR="002A0D3E" w:rsidRPr="007445DA">
        <w:rPr>
          <w:rFonts w:ascii="Arial" w:hAnsi="Arial" w:cs="Arial"/>
        </w:rPr>
        <w:t xml:space="preserve"> </w:t>
      </w:r>
      <w:r w:rsidR="003D2C37" w:rsidRPr="007445DA">
        <w:rPr>
          <w:rFonts w:ascii="Arial" w:hAnsi="Arial" w:cs="Arial"/>
        </w:rPr>
        <w:t>conjoncture de l'époque, c'est là la fatalité de l'Europe.</w:t>
      </w:r>
      <w:r w:rsidRPr="007445DA">
        <w:rPr>
          <w:rFonts w:ascii="Arial" w:hAnsi="Arial" w:cs="Arial"/>
        </w:rPr>
        <w:t> »</w:t>
      </w:r>
    </w:p>
    <w:p w14:paraId="45F4160D" w14:textId="395F8BE6" w:rsidR="003D2C37" w:rsidRPr="007445DA" w:rsidRDefault="003D2C37" w:rsidP="007445DA">
      <w:pPr>
        <w:spacing w:line="360" w:lineRule="auto"/>
        <w:rPr>
          <w:rFonts w:ascii="Arial" w:hAnsi="Arial" w:cs="Arial"/>
        </w:rPr>
      </w:pPr>
      <w:r w:rsidRPr="007445DA">
        <w:rPr>
          <w:rFonts w:ascii="Arial" w:hAnsi="Arial" w:cs="Arial"/>
        </w:rPr>
        <w:t xml:space="preserve">K.D. ERDMANN, Colloque franco-allemand, </w:t>
      </w:r>
      <w:r w:rsidRPr="007445DA">
        <w:rPr>
          <w:rFonts w:ascii="Arial" w:hAnsi="Arial" w:cs="Arial"/>
          <w:i/>
          <w:iCs/>
        </w:rPr>
        <w:t>Historiens et Géographes</w:t>
      </w:r>
      <w:r w:rsidRPr="007445DA">
        <w:rPr>
          <w:rFonts w:ascii="Arial" w:hAnsi="Arial" w:cs="Arial"/>
        </w:rPr>
        <w:t>, août 1966</w:t>
      </w:r>
      <w:r w:rsidR="00E31A60" w:rsidRPr="007445DA">
        <w:rPr>
          <w:rFonts w:ascii="Arial" w:hAnsi="Arial" w:cs="Arial"/>
        </w:rPr>
        <w:t>, cité dans le manuel d’histoire de Première dirigé par Jacques Marseille, Nathan, 1988.</w:t>
      </w:r>
    </w:p>
    <w:p w14:paraId="3FFECC36" w14:textId="3C629044" w:rsidR="00200D80" w:rsidRPr="007445DA" w:rsidRDefault="00200D80" w:rsidP="007445DA">
      <w:pPr>
        <w:spacing w:line="360" w:lineRule="auto"/>
        <w:rPr>
          <w:rFonts w:ascii="Arial" w:hAnsi="Arial" w:cs="Arial"/>
          <w:color w:val="000000"/>
          <w:u w:val="single"/>
          <w:shd w:val="clear" w:color="auto" w:fill="FFFFFF"/>
        </w:rPr>
      </w:pPr>
      <w:r w:rsidRPr="007445DA">
        <w:rPr>
          <w:rFonts w:ascii="Arial" w:hAnsi="Arial" w:cs="Arial"/>
          <w:color w:val="000000"/>
          <w:u w:val="single"/>
          <w:shd w:val="clear" w:color="auto" w:fill="FFFFFF"/>
        </w:rPr>
        <w:t xml:space="preserve">Document </w:t>
      </w:r>
      <w:r w:rsidR="003D2C37" w:rsidRPr="007445DA">
        <w:rPr>
          <w:rFonts w:ascii="Arial" w:hAnsi="Arial" w:cs="Arial"/>
          <w:color w:val="000000"/>
          <w:u w:val="single"/>
          <w:shd w:val="clear" w:color="auto" w:fill="FFFFFF"/>
        </w:rPr>
        <w:t>5</w:t>
      </w:r>
      <w:r w:rsidRPr="007445DA">
        <w:rPr>
          <w:rFonts w:ascii="Arial" w:hAnsi="Arial" w:cs="Arial"/>
          <w:color w:val="000000"/>
          <w:u w:val="single"/>
          <w:shd w:val="clear" w:color="auto" w:fill="FFFFFF"/>
        </w:rPr>
        <w:t xml:space="preserve"> : </w:t>
      </w:r>
      <w:r w:rsidR="00E31A60" w:rsidRPr="007445DA">
        <w:rPr>
          <w:rFonts w:ascii="Arial" w:hAnsi="Arial" w:cs="Arial"/>
          <w:color w:val="000000"/>
          <w:u w:val="single"/>
          <w:shd w:val="clear" w:color="auto" w:fill="FFFFFF"/>
        </w:rPr>
        <w:t>« </w:t>
      </w:r>
      <w:r w:rsidRPr="007445DA">
        <w:rPr>
          <w:rFonts w:ascii="Arial" w:hAnsi="Arial" w:cs="Arial"/>
          <w:color w:val="000000"/>
          <w:u w:val="single"/>
          <w:shd w:val="clear" w:color="auto" w:fill="FFFFFF"/>
        </w:rPr>
        <w:t>L’affaire Fischer</w:t>
      </w:r>
      <w:r w:rsidR="00E31A60" w:rsidRPr="007445DA">
        <w:rPr>
          <w:rFonts w:ascii="Arial" w:hAnsi="Arial" w:cs="Arial"/>
          <w:color w:val="000000"/>
          <w:u w:val="single"/>
          <w:shd w:val="clear" w:color="auto" w:fill="FFFFFF"/>
        </w:rPr>
        <w:t> »</w:t>
      </w:r>
      <w:r w:rsidRPr="007445DA">
        <w:rPr>
          <w:rFonts w:ascii="Arial" w:hAnsi="Arial" w:cs="Arial"/>
          <w:color w:val="000000"/>
          <w:u w:val="single"/>
          <w:shd w:val="clear" w:color="auto" w:fill="FFFFFF"/>
        </w:rPr>
        <w:t xml:space="preserve"> </w:t>
      </w:r>
    </w:p>
    <w:p w14:paraId="1BEB0189" w14:textId="3C93D687" w:rsidR="00200D80" w:rsidRPr="007445DA" w:rsidRDefault="00E31A60" w:rsidP="007445DA">
      <w:pPr>
        <w:spacing w:line="360" w:lineRule="auto"/>
        <w:jc w:val="both"/>
        <w:rPr>
          <w:rFonts w:ascii="Arial" w:hAnsi="Arial" w:cs="Arial"/>
          <w:color w:val="000000"/>
          <w:shd w:val="clear" w:color="auto" w:fill="FFFFFF"/>
        </w:rPr>
      </w:pPr>
      <w:r w:rsidRPr="007445DA">
        <w:rPr>
          <w:rFonts w:ascii="Arial" w:hAnsi="Arial" w:cs="Arial"/>
          <w:color w:val="000000"/>
          <w:shd w:val="clear" w:color="auto" w:fill="FFFFFF"/>
        </w:rPr>
        <w:t>« </w:t>
      </w:r>
      <w:r w:rsidR="00200D80" w:rsidRPr="007445DA">
        <w:rPr>
          <w:rFonts w:ascii="Arial" w:hAnsi="Arial" w:cs="Arial"/>
          <w:color w:val="000000"/>
          <w:shd w:val="clear" w:color="auto" w:fill="FFFFFF"/>
        </w:rPr>
        <w:t>Les tensions accrues des relations internationales dans la seconde moitié des années 1930, puis la guerre et ses conséquences relèguent la "querelle des responsabilités" d’une guerre qui paraît plus lointaine, ensuite, dans les années 1950, au second plan. Elle est vivement relancée par la parution en 1961 du livre d’un professeur de Hambourg, Fritz Fischer : </w:t>
      </w:r>
      <w:r w:rsidR="00200D80" w:rsidRPr="007445DA">
        <w:rPr>
          <w:rStyle w:val="Accentuation"/>
          <w:rFonts w:ascii="Arial" w:hAnsi="Arial" w:cs="Arial"/>
          <w:color w:val="000000"/>
          <w:shd w:val="clear" w:color="auto" w:fill="FFFFFF"/>
        </w:rPr>
        <w:t>Les Buts de guerre de l’Allemagne impériale. 1914-1918</w:t>
      </w:r>
      <w:r w:rsidRPr="007445DA">
        <w:rPr>
          <w:rStyle w:val="Accentuation"/>
          <w:rFonts w:ascii="Arial" w:hAnsi="Arial" w:cs="Arial"/>
          <w:color w:val="000000"/>
          <w:shd w:val="clear" w:color="auto" w:fill="FFFFFF"/>
        </w:rPr>
        <w:t xml:space="preserve">. </w:t>
      </w:r>
      <w:r w:rsidR="00200D80" w:rsidRPr="007445DA">
        <w:rPr>
          <w:rFonts w:ascii="Arial" w:hAnsi="Arial" w:cs="Arial"/>
          <w:color w:val="000000"/>
          <w:shd w:val="clear" w:color="auto" w:fill="FFFFFF"/>
        </w:rPr>
        <w:t xml:space="preserve">Bien que le parcours de Fischer ne soit pas celui d’un esprit critique – il fut même membre du parti nazi –, il entend ici démontrer que c’est bien l’impérialisme allemand qui est responsable du déclenchement de la Première Guerre mondiale. Selon lui, il y a une continuité dans la volonté allemande de devenir une puissance mondiale et dans les buts de guerre du Reich depuis les années 1890 : affaiblir la France, mettre à distance la Russie et surtout dominer la Belgique. Un des arguments clés de Fischer tient dans un texte intitulé le "programme de septembre" </w:t>
      </w:r>
      <w:r w:rsidR="005D7638" w:rsidRPr="007445DA">
        <w:rPr>
          <w:rFonts w:ascii="Arial" w:hAnsi="Arial" w:cs="Arial"/>
          <w:color w:val="000000"/>
          <w:shd w:val="clear" w:color="auto" w:fill="FFFFFF"/>
        </w:rPr>
        <w:t xml:space="preserve">du chancelier allemand Bethmann Hollweg </w:t>
      </w:r>
      <w:r w:rsidR="00200D80" w:rsidRPr="007445DA">
        <w:rPr>
          <w:rFonts w:ascii="Arial" w:hAnsi="Arial" w:cs="Arial"/>
          <w:color w:val="000000"/>
          <w:shd w:val="clear" w:color="auto" w:fill="FFFFFF"/>
        </w:rPr>
        <w:t>(1914). Du coup, le chancelier apparaît loin de l’image qu’il avait d’un modéré, pour devenir le représentant d’un programme annexionniste et belligène. Plus tard, dans </w:t>
      </w:r>
      <w:r w:rsidR="00200D80" w:rsidRPr="007445DA">
        <w:rPr>
          <w:rStyle w:val="Accentuation"/>
          <w:rFonts w:ascii="Arial" w:hAnsi="Arial" w:cs="Arial"/>
          <w:color w:val="000000"/>
          <w:shd w:val="clear" w:color="auto" w:fill="FFFFFF"/>
        </w:rPr>
        <w:t xml:space="preserve">La Guerre des illusions (Krieg der </w:t>
      </w:r>
      <w:proofErr w:type="spellStart"/>
      <w:r w:rsidR="00200D80" w:rsidRPr="007445DA">
        <w:rPr>
          <w:rStyle w:val="Accentuation"/>
          <w:rFonts w:ascii="Arial" w:hAnsi="Arial" w:cs="Arial"/>
          <w:color w:val="000000"/>
          <w:shd w:val="clear" w:color="auto" w:fill="FFFFFF"/>
        </w:rPr>
        <w:t>Illusionen</w:t>
      </w:r>
      <w:proofErr w:type="spellEnd"/>
      <w:r w:rsidR="00200D80" w:rsidRPr="007445DA">
        <w:rPr>
          <w:rFonts w:ascii="Arial" w:hAnsi="Arial" w:cs="Arial"/>
          <w:color w:val="000000"/>
          <w:shd w:val="clear" w:color="auto" w:fill="FFFFFF"/>
        </w:rPr>
        <w:t xml:space="preserve">, 1969) Fischer radicalise le propos et insiste sur les problèmes économiques de l’Allemagne d’avant-guerre qui renforcent la marche vers la guerre. À contrecourant de tout l’effort allemand de l’entre-deux guerres pour rééquilibrer les responsabilités, Fischer fait de son pays le grand coupable de l’hécatombe. Il déclenche un véritable "scandale" car ses thèses sortent de l’espace universitaire et touchent l’espace public le plus large, jusqu’à mobiliser le gouvernement pour produire un contre-feu. </w:t>
      </w:r>
      <w:r w:rsidR="005D7638" w:rsidRPr="007445DA">
        <w:rPr>
          <w:rFonts w:ascii="Arial" w:hAnsi="Arial" w:cs="Arial"/>
          <w:color w:val="000000"/>
          <w:shd w:val="clear" w:color="auto" w:fill="FFFFFF"/>
        </w:rPr>
        <w:t xml:space="preserve">(…) </w:t>
      </w:r>
      <w:r w:rsidR="00200D80" w:rsidRPr="007445DA">
        <w:rPr>
          <w:rFonts w:ascii="Arial" w:hAnsi="Arial" w:cs="Arial"/>
          <w:color w:val="000000"/>
          <w:shd w:val="clear" w:color="auto" w:fill="FFFFFF"/>
        </w:rPr>
        <w:t>Des historiens conservateurs répondent que la politique allemande fut en fait essentiellement défensive, ou que la politique extérieure fut le moteur principal des décisions allemandes.</w:t>
      </w:r>
      <w:r w:rsidR="00200D80" w:rsidRPr="007445DA">
        <w:rPr>
          <w:rFonts w:ascii="Arial" w:hAnsi="Arial" w:cs="Arial"/>
          <w:color w:val="000000"/>
        </w:rPr>
        <w:br/>
      </w:r>
      <w:r w:rsidR="005D7638" w:rsidRPr="007445DA">
        <w:rPr>
          <w:rFonts w:ascii="Arial" w:hAnsi="Arial" w:cs="Arial"/>
          <w:color w:val="000000"/>
          <w:shd w:val="clear" w:color="auto" w:fill="FFFFFF"/>
        </w:rPr>
        <w:t xml:space="preserve">(…) </w:t>
      </w:r>
      <w:r w:rsidR="00200D80" w:rsidRPr="007445DA">
        <w:rPr>
          <w:rFonts w:ascii="Arial" w:hAnsi="Arial" w:cs="Arial"/>
          <w:color w:val="000000"/>
          <w:shd w:val="clear" w:color="auto" w:fill="FFFFFF"/>
        </w:rPr>
        <w:t>Au final, les thèses de Fischer, bien reçues dans un contexte contestataire, se sont imposées à de nombreux historiens allemands, ce qui n’est pas sans poser question dans un espace public allemand élargi.</w:t>
      </w:r>
      <w:r w:rsidR="007445DA">
        <w:rPr>
          <w:rFonts w:ascii="Arial" w:hAnsi="Arial" w:cs="Arial"/>
          <w:color w:val="000000"/>
          <w:shd w:val="clear" w:color="auto" w:fill="FFFFFF"/>
        </w:rPr>
        <w:t> »</w:t>
      </w:r>
      <w:r w:rsidR="00200D80" w:rsidRPr="007445DA">
        <w:rPr>
          <w:rFonts w:ascii="Arial" w:hAnsi="Arial" w:cs="Arial"/>
          <w:color w:val="000000"/>
          <w:shd w:val="clear" w:color="auto" w:fill="FFFFFF"/>
        </w:rPr>
        <w:t xml:space="preserve"> </w:t>
      </w:r>
      <w:r w:rsidR="00200D80" w:rsidRPr="007445DA">
        <w:rPr>
          <w:rFonts w:ascii="Arial" w:hAnsi="Arial" w:cs="Arial"/>
        </w:rPr>
        <w:t xml:space="preserve">Nicolas </w:t>
      </w:r>
      <w:proofErr w:type="spellStart"/>
      <w:r w:rsidR="00200D80" w:rsidRPr="007445DA">
        <w:rPr>
          <w:rFonts w:ascii="Arial" w:hAnsi="Arial" w:cs="Arial"/>
        </w:rPr>
        <w:t>Offenstadt</w:t>
      </w:r>
      <w:proofErr w:type="spellEnd"/>
      <w:r w:rsidR="00200D80" w:rsidRPr="007445DA">
        <w:rPr>
          <w:rFonts w:ascii="Arial" w:hAnsi="Arial" w:cs="Arial"/>
        </w:rPr>
        <w:t xml:space="preserve">, article « Les "origines" et les "responsabilités" de la Grande Guerre », pour l’exposition sur la Première Guerre mondiale à la BNF, </w:t>
      </w:r>
      <w:hyperlink r:id="rId6" w:history="1">
        <w:r w:rsidR="003D2C37" w:rsidRPr="007445DA">
          <w:rPr>
            <w:rStyle w:val="Lienhypertexte"/>
            <w:rFonts w:ascii="Arial" w:hAnsi="Arial" w:cs="Arial"/>
          </w:rPr>
          <w:t>http://expositions.bnf.fr/guerre14/arret/03_4.htm</w:t>
        </w:r>
      </w:hyperlink>
    </w:p>
    <w:p w14:paraId="1E9506E0" w14:textId="5653E532" w:rsidR="00984813" w:rsidRDefault="00984813" w:rsidP="00200D80">
      <w:pPr>
        <w:spacing w:line="360" w:lineRule="auto"/>
        <w:jc w:val="both"/>
      </w:pPr>
    </w:p>
    <w:sectPr w:rsidR="00984813" w:rsidSect="00744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001D2"/>
    <w:rsid w:val="00132924"/>
    <w:rsid w:val="002001D2"/>
    <w:rsid w:val="00200D80"/>
    <w:rsid w:val="002867DE"/>
    <w:rsid w:val="002A0D3E"/>
    <w:rsid w:val="002F6DE4"/>
    <w:rsid w:val="0033639B"/>
    <w:rsid w:val="003D2C37"/>
    <w:rsid w:val="005D2716"/>
    <w:rsid w:val="005D7638"/>
    <w:rsid w:val="00653E9B"/>
    <w:rsid w:val="006D69EF"/>
    <w:rsid w:val="007445DA"/>
    <w:rsid w:val="00984813"/>
    <w:rsid w:val="00C7075C"/>
    <w:rsid w:val="00DD4DDB"/>
    <w:rsid w:val="00E31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FC43"/>
  <w15:chartTrackingRefBased/>
  <w15:docId w15:val="{7BE4DEE2-ED25-4018-BF7E-986079F8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9B"/>
  </w:style>
  <w:style w:type="paragraph" w:styleId="Titre3">
    <w:name w:val="heading 3"/>
    <w:basedOn w:val="Normal"/>
    <w:link w:val="Titre3Car"/>
    <w:uiPriority w:val="9"/>
    <w:qFormat/>
    <w:rsid w:val="00200D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3E9B"/>
    <w:rPr>
      <w:b/>
      <w:bCs/>
    </w:rPr>
  </w:style>
  <w:style w:type="paragraph" w:styleId="Sansinterligne">
    <w:name w:val="No Spacing"/>
    <w:uiPriority w:val="1"/>
    <w:qFormat/>
    <w:rsid w:val="00653E9B"/>
    <w:pPr>
      <w:spacing w:after="0" w:line="240" w:lineRule="auto"/>
    </w:pPr>
  </w:style>
  <w:style w:type="character" w:customStyle="1" w:styleId="Titre3Car">
    <w:name w:val="Titre 3 Car"/>
    <w:basedOn w:val="Policepardfaut"/>
    <w:link w:val="Titre3"/>
    <w:uiPriority w:val="9"/>
    <w:rsid w:val="00200D80"/>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200D80"/>
    <w:rPr>
      <w:i/>
      <w:iCs/>
    </w:rPr>
  </w:style>
  <w:style w:type="character" w:customStyle="1" w:styleId="exp">
    <w:name w:val="exp"/>
    <w:basedOn w:val="Policepardfaut"/>
    <w:rsid w:val="00200D80"/>
  </w:style>
  <w:style w:type="character" w:styleId="Lienhypertexte">
    <w:name w:val="Hyperlink"/>
    <w:basedOn w:val="Policepardfaut"/>
    <w:uiPriority w:val="99"/>
    <w:unhideWhenUsed/>
    <w:rsid w:val="00200D80"/>
    <w:rPr>
      <w:color w:val="0000FF" w:themeColor="hyperlink"/>
      <w:u w:val="single"/>
    </w:rPr>
  </w:style>
  <w:style w:type="character" w:styleId="Mentionnonrsolue">
    <w:name w:val="Unresolved Mention"/>
    <w:basedOn w:val="Policepardfaut"/>
    <w:uiPriority w:val="99"/>
    <w:semiHidden/>
    <w:unhideWhenUsed/>
    <w:rsid w:val="0020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9963">
      <w:bodyDiv w:val="1"/>
      <w:marLeft w:val="0"/>
      <w:marRight w:val="0"/>
      <w:marTop w:val="0"/>
      <w:marBottom w:val="0"/>
      <w:divBdr>
        <w:top w:val="none" w:sz="0" w:space="0" w:color="auto"/>
        <w:left w:val="none" w:sz="0" w:space="0" w:color="auto"/>
        <w:bottom w:val="none" w:sz="0" w:space="0" w:color="auto"/>
        <w:right w:val="none" w:sz="0" w:space="0" w:color="auto"/>
      </w:divBdr>
    </w:div>
    <w:div w:id="697315649">
      <w:bodyDiv w:val="1"/>
      <w:marLeft w:val="0"/>
      <w:marRight w:val="0"/>
      <w:marTop w:val="0"/>
      <w:marBottom w:val="0"/>
      <w:divBdr>
        <w:top w:val="none" w:sz="0" w:space="0" w:color="auto"/>
        <w:left w:val="none" w:sz="0" w:space="0" w:color="auto"/>
        <w:bottom w:val="none" w:sz="0" w:space="0" w:color="auto"/>
        <w:right w:val="none" w:sz="0" w:space="0" w:color="auto"/>
      </w:divBdr>
      <w:divsChild>
        <w:div w:id="1642610374">
          <w:marLeft w:val="0"/>
          <w:marRight w:val="0"/>
          <w:marTop w:val="0"/>
          <w:marBottom w:val="0"/>
          <w:divBdr>
            <w:top w:val="none" w:sz="0" w:space="0" w:color="auto"/>
            <w:left w:val="none" w:sz="0" w:space="0" w:color="auto"/>
            <w:bottom w:val="none" w:sz="0" w:space="0" w:color="auto"/>
            <w:right w:val="none" w:sz="0" w:space="0" w:color="auto"/>
          </w:divBdr>
        </w:div>
        <w:div w:id="1074353335">
          <w:marLeft w:val="0"/>
          <w:marRight w:val="0"/>
          <w:marTop w:val="0"/>
          <w:marBottom w:val="0"/>
          <w:divBdr>
            <w:top w:val="none" w:sz="0" w:space="0" w:color="auto"/>
            <w:left w:val="none" w:sz="0" w:space="0" w:color="auto"/>
            <w:bottom w:val="none" w:sz="0" w:space="0" w:color="auto"/>
            <w:right w:val="none" w:sz="0" w:space="0" w:color="auto"/>
          </w:divBdr>
        </w:div>
        <w:div w:id="501625575">
          <w:marLeft w:val="0"/>
          <w:marRight w:val="0"/>
          <w:marTop w:val="0"/>
          <w:marBottom w:val="0"/>
          <w:divBdr>
            <w:top w:val="none" w:sz="0" w:space="0" w:color="auto"/>
            <w:left w:val="none" w:sz="0" w:space="0" w:color="auto"/>
            <w:bottom w:val="none" w:sz="0" w:space="0" w:color="auto"/>
            <w:right w:val="none" w:sz="0" w:space="0" w:color="auto"/>
          </w:divBdr>
        </w:div>
        <w:div w:id="1698845558">
          <w:marLeft w:val="0"/>
          <w:marRight w:val="0"/>
          <w:marTop w:val="0"/>
          <w:marBottom w:val="0"/>
          <w:divBdr>
            <w:top w:val="none" w:sz="0" w:space="0" w:color="auto"/>
            <w:left w:val="none" w:sz="0" w:space="0" w:color="auto"/>
            <w:bottom w:val="none" w:sz="0" w:space="0" w:color="auto"/>
            <w:right w:val="none" w:sz="0" w:space="0" w:color="auto"/>
          </w:divBdr>
        </w:div>
        <w:div w:id="43257573">
          <w:marLeft w:val="0"/>
          <w:marRight w:val="0"/>
          <w:marTop w:val="0"/>
          <w:marBottom w:val="0"/>
          <w:divBdr>
            <w:top w:val="none" w:sz="0" w:space="0" w:color="auto"/>
            <w:left w:val="none" w:sz="0" w:space="0" w:color="auto"/>
            <w:bottom w:val="none" w:sz="0" w:space="0" w:color="auto"/>
            <w:right w:val="none" w:sz="0" w:space="0" w:color="auto"/>
          </w:divBdr>
        </w:div>
        <w:div w:id="1843740367">
          <w:marLeft w:val="0"/>
          <w:marRight w:val="0"/>
          <w:marTop w:val="0"/>
          <w:marBottom w:val="0"/>
          <w:divBdr>
            <w:top w:val="none" w:sz="0" w:space="0" w:color="auto"/>
            <w:left w:val="none" w:sz="0" w:space="0" w:color="auto"/>
            <w:bottom w:val="none" w:sz="0" w:space="0" w:color="auto"/>
            <w:right w:val="none" w:sz="0" w:space="0" w:color="auto"/>
          </w:divBdr>
        </w:div>
        <w:div w:id="768768990">
          <w:marLeft w:val="0"/>
          <w:marRight w:val="0"/>
          <w:marTop w:val="0"/>
          <w:marBottom w:val="0"/>
          <w:divBdr>
            <w:top w:val="none" w:sz="0" w:space="0" w:color="auto"/>
            <w:left w:val="none" w:sz="0" w:space="0" w:color="auto"/>
            <w:bottom w:val="none" w:sz="0" w:space="0" w:color="auto"/>
            <w:right w:val="none" w:sz="0" w:space="0" w:color="auto"/>
          </w:divBdr>
        </w:div>
        <w:div w:id="848521945">
          <w:marLeft w:val="0"/>
          <w:marRight w:val="0"/>
          <w:marTop w:val="0"/>
          <w:marBottom w:val="0"/>
          <w:divBdr>
            <w:top w:val="none" w:sz="0" w:space="0" w:color="auto"/>
            <w:left w:val="none" w:sz="0" w:space="0" w:color="auto"/>
            <w:bottom w:val="none" w:sz="0" w:space="0" w:color="auto"/>
            <w:right w:val="none" w:sz="0" w:space="0" w:color="auto"/>
          </w:divBdr>
        </w:div>
        <w:div w:id="861017695">
          <w:marLeft w:val="0"/>
          <w:marRight w:val="0"/>
          <w:marTop w:val="0"/>
          <w:marBottom w:val="0"/>
          <w:divBdr>
            <w:top w:val="none" w:sz="0" w:space="0" w:color="auto"/>
            <w:left w:val="none" w:sz="0" w:space="0" w:color="auto"/>
            <w:bottom w:val="none" w:sz="0" w:space="0" w:color="auto"/>
            <w:right w:val="none" w:sz="0" w:space="0" w:color="auto"/>
          </w:divBdr>
        </w:div>
        <w:div w:id="1262495880">
          <w:marLeft w:val="0"/>
          <w:marRight w:val="0"/>
          <w:marTop w:val="0"/>
          <w:marBottom w:val="0"/>
          <w:divBdr>
            <w:top w:val="none" w:sz="0" w:space="0" w:color="auto"/>
            <w:left w:val="none" w:sz="0" w:space="0" w:color="auto"/>
            <w:bottom w:val="none" w:sz="0" w:space="0" w:color="auto"/>
            <w:right w:val="none" w:sz="0" w:space="0" w:color="auto"/>
          </w:divBdr>
        </w:div>
        <w:div w:id="1823621242">
          <w:marLeft w:val="0"/>
          <w:marRight w:val="0"/>
          <w:marTop w:val="0"/>
          <w:marBottom w:val="0"/>
          <w:divBdr>
            <w:top w:val="none" w:sz="0" w:space="0" w:color="auto"/>
            <w:left w:val="none" w:sz="0" w:space="0" w:color="auto"/>
            <w:bottom w:val="none" w:sz="0" w:space="0" w:color="auto"/>
            <w:right w:val="none" w:sz="0" w:space="0" w:color="auto"/>
          </w:divBdr>
        </w:div>
        <w:div w:id="904677875">
          <w:marLeft w:val="0"/>
          <w:marRight w:val="0"/>
          <w:marTop w:val="0"/>
          <w:marBottom w:val="0"/>
          <w:divBdr>
            <w:top w:val="none" w:sz="0" w:space="0" w:color="auto"/>
            <w:left w:val="none" w:sz="0" w:space="0" w:color="auto"/>
            <w:bottom w:val="none" w:sz="0" w:space="0" w:color="auto"/>
            <w:right w:val="none" w:sz="0" w:space="0" w:color="auto"/>
          </w:divBdr>
        </w:div>
        <w:div w:id="259415315">
          <w:marLeft w:val="0"/>
          <w:marRight w:val="0"/>
          <w:marTop w:val="0"/>
          <w:marBottom w:val="0"/>
          <w:divBdr>
            <w:top w:val="none" w:sz="0" w:space="0" w:color="auto"/>
            <w:left w:val="none" w:sz="0" w:space="0" w:color="auto"/>
            <w:bottom w:val="none" w:sz="0" w:space="0" w:color="auto"/>
            <w:right w:val="none" w:sz="0" w:space="0" w:color="auto"/>
          </w:divBdr>
        </w:div>
        <w:div w:id="995762256">
          <w:marLeft w:val="0"/>
          <w:marRight w:val="0"/>
          <w:marTop w:val="0"/>
          <w:marBottom w:val="0"/>
          <w:divBdr>
            <w:top w:val="none" w:sz="0" w:space="0" w:color="auto"/>
            <w:left w:val="none" w:sz="0" w:space="0" w:color="auto"/>
            <w:bottom w:val="none" w:sz="0" w:space="0" w:color="auto"/>
            <w:right w:val="none" w:sz="0" w:space="0" w:color="auto"/>
          </w:divBdr>
        </w:div>
      </w:divsChild>
    </w:div>
    <w:div w:id="1258906722">
      <w:bodyDiv w:val="1"/>
      <w:marLeft w:val="0"/>
      <w:marRight w:val="0"/>
      <w:marTop w:val="0"/>
      <w:marBottom w:val="0"/>
      <w:divBdr>
        <w:top w:val="none" w:sz="0" w:space="0" w:color="auto"/>
        <w:left w:val="none" w:sz="0" w:space="0" w:color="auto"/>
        <w:bottom w:val="none" w:sz="0" w:space="0" w:color="auto"/>
        <w:right w:val="none" w:sz="0" w:space="0" w:color="auto"/>
      </w:divBdr>
      <w:divsChild>
        <w:div w:id="2019849546">
          <w:marLeft w:val="0"/>
          <w:marRight w:val="0"/>
          <w:marTop w:val="0"/>
          <w:marBottom w:val="0"/>
          <w:divBdr>
            <w:top w:val="none" w:sz="0" w:space="0" w:color="auto"/>
            <w:left w:val="none" w:sz="0" w:space="0" w:color="auto"/>
            <w:bottom w:val="none" w:sz="0" w:space="0" w:color="auto"/>
            <w:right w:val="none" w:sz="0" w:space="0" w:color="auto"/>
          </w:divBdr>
        </w:div>
        <w:div w:id="1311010336">
          <w:marLeft w:val="0"/>
          <w:marRight w:val="0"/>
          <w:marTop w:val="0"/>
          <w:marBottom w:val="0"/>
          <w:divBdr>
            <w:top w:val="none" w:sz="0" w:space="0" w:color="auto"/>
            <w:left w:val="none" w:sz="0" w:space="0" w:color="auto"/>
            <w:bottom w:val="none" w:sz="0" w:space="0" w:color="auto"/>
            <w:right w:val="none" w:sz="0" w:space="0" w:color="auto"/>
          </w:divBdr>
        </w:div>
        <w:div w:id="1861234349">
          <w:marLeft w:val="0"/>
          <w:marRight w:val="0"/>
          <w:marTop w:val="0"/>
          <w:marBottom w:val="0"/>
          <w:divBdr>
            <w:top w:val="none" w:sz="0" w:space="0" w:color="auto"/>
            <w:left w:val="none" w:sz="0" w:space="0" w:color="auto"/>
            <w:bottom w:val="none" w:sz="0" w:space="0" w:color="auto"/>
            <w:right w:val="none" w:sz="0" w:space="0" w:color="auto"/>
          </w:divBdr>
        </w:div>
        <w:div w:id="704452753">
          <w:marLeft w:val="0"/>
          <w:marRight w:val="0"/>
          <w:marTop w:val="0"/>
          <w:marBottom w:val="0"/>
          <w:divBdr>
            <w:top w:val="none" w:sz="0" w:space="0" w:color="auto"/>
            <w:left w:val="none" w:sz="0" w:space="0" w:color="auto"/>
            <w:bottom w:val="none" w:sz="0" w:space="0" w:color="auto"/>
            <w:right w:val="none" w:sz="0" w:space="0" w:color="auto"/>
          </w:divBdr>
        </w:div>
        <w:div w:id="175076334">
          <w:marLeft w:val="0"/>
          <w:marRight w:val="0"/>
          <w:marTop w:val="0"/>
          <w:marBottom w:val="0"/>
          <w:divBdr>
            <w:top w:val="none" w:sz="0" w:space="0" w:color="auto"/>
            <w:left w:val="none" w:sz="0" w:space="0" w:color="auto"/>
            <w:bottom w:val="none" w:sz="0" w:space="0" w:color="auto"/>
            <w:right w:val="none" w:sz="0" w:space="0" w:color="auto"/>
          </w:divBdr>
        </w:div>
        <w:div w:id="500856418">
          <w:marLeft w:val="0"/>
          <w:marRight w:val="0"/>
          <w:marTop w:val="0"/>
          <w:marBottom w:val="0"/>
          <w:divBdr>
            <w:top w:val="none" w:sz="0" w:space="0" w:color="auto"/>
            <w:left w:val="none" w:sz="0" w:space="0" w:color="auto"/>
            <w:bottom w:val="none" w:sz="0" w:space="0" w:color="auto"/>
            <w:right w:val="none" w:sz="0" w:space="0" w:color="auto"/>
          </w:divBdr>
        </w:div>
        <w:div w:id="1106191569">
          <w:marLeft w:val="0"/>
          <w:marRight w:val="0"/>
          <w:marTop w:val="0"/>
          <w:marBottom w:val="0"/>
          <w:divBdr>
            <w:top w:val="none" w:sz="0" w:space="0" w:color="auto"/>
            <w:left w:val="none" w:sz="0" w:space="0" w:color="auto"/>
            <w:bottom w:val="none" w:sz="0" w:space="0" w:color="auto"/>
            <w:right w:val="none" w:sz="0" w:space="0" w:color="auto"/>
          </w:divBdr>
        </w:div>
        <w:div w:id="1738894932">
          <w:marLeft w:val="0"/>
          <w:marRight w:val="0"/>
          <w:marTop w:val="0"/>
          <w:marBottom w:val="0"/>
          <w:divBdr>
            <w:top w:val="none" w:sz="0" w:space="0" w:color="auto"/>
            <w:left w:val="none" w:sz="0" w:space="0" w:color="auto"/>
            <w:bottom w:val="none" w:sz="0" w:space="0" w:color="auto"/>
            <w:right w:val="none" w:sz="0" w:space="0" w:color="auto"/>
          </w:divBdr>
        </w:div>
        <w:div w:id="1135368404">
          <w:marLeft w:val="0"/>
          <w:marRight w:val="0"/>
          <w:marTop w:val="0"/>
          <w:marBottom w:val="0"/>
          <w:divBdr>
            <w:top w:val="none" w:sz="0" w:space="0" w:color="auto"/>
            <w:left w:val="none" w:sz="0" w:space="0" w:color="auto"/>
            <w:bottom w:val="none" w:sz="0" w:space="0" w:color="auto"/>
            <w:right w:val="none" w:sz="0" w:space="0" w:color="auto"/>
          </w:divBdr>
        </w:div>
        <w:div w:id="1798403650">
          <w:marLeft w:val="0"/>
          <w:marRight w:val="0"/>
          <w:marTop w:val="0"/>
          <w:marBottom w:val="0"/>
          <w:divBdr>
            <w:top w:val="none" w:sz="0" w:space="0" w:color="auto"/>
            <w:left w:val="none" w:sz="0" w:space="0" w:color="auto"/>
            <w:bottom w:val="none" w:sz="0" w:space="0" w:color="auto"/>
            <w:right w:val="none" w:sz="0" w:space="0" w:color="auto"/>
          </w:divBdr>
        </w:div>
        <w:div w:id="1642341421">
          <w:marLeft w:val="0"/>
          <w:marRight w:val="0"/>
          <w:marTop w:val="0"/>
          <w:marBottom w:val="0"/>
          <w:divBdr>
            <w:top w:val="none" w:sz="0" w:space="0" w:color="auto"/>
            <w:left w:val="none" w:sz="0" w:space="0" w:color="auto"/>
            <w:bottom w:val="none" w:sz="0" w:space="0" w:color="auto"/>
            <w:right w:val="none" w:sz="0" w:space="0" w:color="auto"/>
          </w:divBdr>
        </w:div>
        <w:div w:id="1514220260">
          <w:marLeft w:val="0"/>
          <w:marRight w:val="0"/>
          <w:marTop w:val="0"/>
          <w:marBottom w:val="0"/>
          <w:divBdr>
            <w:top w:val="none" w:sz="0" w:space="0" w:color="auto"/>
            <w:left w:val="none" w:sz="0" w:space="0" w:color="auto"/>
            <w:bottom w:val="none" w:sz="0" w:space="0" w:color="auto"/>
            <w:right w:val="none" w:sz="0" w:space="0" w:color="auto"/>
          </w:divBdr>
        </w:div>
        <w:div w:id="2048600479">
          <w:marLeft w:val="0"/>
          <w:marRight w:val="0"/>
          <w:marTop w:val="0"/>
          <w:marBottom w:val="0"/>
          <w:divBdr>
            <w:top w:val="none" w:sz="0" w:space="0" w:color="auto"/>
            <w:left w:val="none" w:sz="0" w:space="0" w:color="auto"/>
            <w:bottom w:val="none" w:sz="0" w:space="0" w:color="auto"/>
            <w:right w:val="none" w:sz="0" w:space="0" w:color="auto"/>
          </w:divBdr>
        </w:div>
        <w:div w:id="1022247709">
          <w:marLeft w:val="0"/>
          <w:marRight w:val="0"/>
          <w:marTop w:val="0"/>
          <w:marBottom w:val="0"/>
          <w:divBdr>
            <w:top w:val="none" w:sz="0" w:space="0" w:color="auto"/>
            <w:left w:val="none" w:sz="0" w:space="0" w:color="auto"/>
            <w:bottom w:val="none" w:sz="0" w:space="0" w:color="auto"/>
            <w:right w:val="none" w:sz="0" w:space="0" w:color="auto"/>
          </w:divBdr>
        </w:div>
      </w:divsChild>
    </w:div>
    <w:div w:id="1955553828">
      <w:bodyDiv w:val="1"/>
      <w:marLeft w:val="0"/>
      <w:marRight w:val="0"/>
      <w:marTop w:val="0"/>
      <w:marBottom w:val="0"/>
      <w:divBdr>
        <w:top w:val="none" w:sz="0" w:space="0" w:color="auto"/>
        <w:left w:val="none" w:sz="0" w:space="0" w:color="auto"/>
        <w:bottom w:val="none" w:sz="0" w:space="0" w:color="auto"/>
        <w:right w:val="none" w:sz="0" w:space="0" w:color="auto"/>
      </w:divBdr>
      <w:divsChild>
        <w:div w:id="1150366073">
          <w:marLeft w:val="0"/>
          <w:marRight w:val="0"/>
          <w:marTop w:val="0"/>
          <w:marBottom w:val="0"/>
          <w:divBdr>
            <w:top w:val="none" w:sz="0" w:space="0" w:color="auto"/>
            <w:left w:val="none" w:sz="0" w:space="0" w:color="auto"/>
            <w:bottom w:val="none" w:sz="0" w:space="0" w:color="auto"/>
            <w:right w:val="none" w:sz="0" w:space="0" w:color="auto"/>
          </w:divBdr>
        </w:div>
        <w:div w:id="328824448">
          <w:marLeft w:val="0"/>
          <w:marRight w:val="0"/>
          <w:marTop w:val="0"/>
          <w:marBottom w:val="0"/>
          <w:divBdr>
            <w:top w:val="none" w:sz="0" w:space="0" w:color="auto"/>
            <w:left w:val="none" w:sz="0" w:space="0" w:color="auto"/>
            <w:bottom w:val="none" w:sz="0" w:space="0" w:color="auto"/>
            <w:right w:val="none" w:sz="0" w:space="0" w:color="auto"/>
          </w:divBdr>
        </w:div>
        <w:div w:id="1056318760">
          <w:marLeft w:val="0"/>
          <w:marRight w:val="0"/>
          <w:marTop w:val="0"/>
          <w:marBottom w:val="0"/>
          <w:divBdr>
            <w:top w:val="none" w:sz="0" w:space="0" w:color="auto"/>
            <w:left w:val="none" w:sz="0" w:space="0" w:color="auto"/>
            <w:bottom w:val="none" w:sz="0" w:space="0" w:color="auto"/>
            <w:right w:val="none" w:sz="0" w:space="0" w:color="auto"/>
          </w:divBdr>
        </w:div>
        <w:div w:id="1909922525">
          <w:marLeft w:val="0"/>
          <w:marRight w:val="0"/>
          <w:marTop w:val="0"/>
          <w:marBottom w:val="0"/>
          <w:divBdr>
            <w:top w:val="none" w:sz="0" w:space="0" w:color="auto"/>
            <w:left w:val="none" w:sz="0" w:space="0" w:color="auto"/>
            <w:bottom w:val="none" w:sz="0" w:space="0" w:color="auto"/>
            <w:right w:val="none" w:sz="0" w:space="0" w:color="auto"/>
          </w:divBdr>
        </w:div>
        <w:div w:id="438065237">
          <w:marLeft w:val="0"/>
          <w:marRight w:val="0"/>
          <w:marTop w:val="0"/>
          <w:marBottom w:val="0"/>
          <w:divBdr>
            <w:top w:val="none" w:sz="0" w:space="0" w:color="auto"/>
            <w:left w:val="none" w:sz="0" w:space="0" w:color="auto"/>
            <w:bottom w:val="none" w:sz="0" w:space="0" w:color="auto"/>
            <w:right w:val="none" w:sz="0" w:space="0" w:color="auto"/>
          </w:divBdr>
        </w:div>
        <w:div w:id="1258908991">
          <w:marLeft w:val="0"/>
          <w:marRight w:val="0"/>
          <w:marTop w:val="0"/>
          <w:marBottom w:val="0"/>
          <w:divBdr>
            <w:top w:val="none" w:sz="0" w:space="0" w:color="auto"/>
            <w:left w:val="none" w:sz="0" w:space="0" w:color="auto"/>
            <w:bottom w:val="none" w:sz="0" w:space="0" w:color="auto"/>
            <w:right w:val="none" w:sz="0" w:space="0" w:color="auto"/>
          </w:divBdr>
        </w:div>
        <w:div w:id="734815460">
          <w:marLeft w:val="0"/>
          <w:marRight w:val="0"/>
          <w:marTop w:val="0"/>
          <w:marBottom w:val="0"/>
          <w:divBdr>
            <w:top w:val="none" w:sz="0" w:space="0" w:color="auto"/>
            <w:left w:val="none" w:sz="0" w:space="0" w:color="auto"/>
            <w:bottom w:val="none" w:sz="0" w:space="0" w:color="auto"/>
            <w:right w:val="none" w:sz="0" w:space="0" w:color="auto"/>
          </w:divBdr>
        </w:div>
        <w:div w:id="371610781">
          <w:marLeft w:val="0"/>
          <w:marRight w:val="0"/>
          <w:marTop w:val="0"/>
          <w:marBottom w:val="0"/>
          <w:divBdr>
            <w:top w:val="none" w:sz="0" w:space="0" w:color="auto"/>
            <w:left w:val="none" w:sz="0" w:space="0" w:color="auto"/>
            <w:bottom w:val="none" w:sz="0" w:space="0" w:color="auto"/>
            <w:right w:val="none" w:sz="0" w:space="0" w:color="auto"/>
          </w:divBdr>
        </w:div>
        <w:div w:id="558130992">
          <w:marLeft w:val="0"/>
          <w:marRight w:val="0"/>
          <w:marTop w:val="0"/>
          <w:marBottom w:val="0"/>
          <w:divBdr>
            <w:top w:val="none" w:sz="0" w:space="0" w:color="auto"/>
            <w:left w:val="none" w:sz="0" w:space="0" w:color="auto"/>
            <w:bottom w:val="none" w:sz="0" w:space="0" w:color="auto"/>
            <w:right w:val="none" w:sz="0" w:space="0" w:color="auto"/>
          </w:divBdr>
        </w:div>
        <w:div w:id="1089739267">
          <w:marLeft w:val="0"/>
          <w:marRight w:val="0"/>
          <w:marTop w:val="0"/>
          <w:marBottom w:val="0"/>
          <w:divBdr>
            <w:top w:val="none" w:sz="0" w:space="0" w:color="auto"/>
            <w:left w:val="none" w:sz="0" w:space="0" w:color="auto"/>
            <w:bottom w:val="none" w:sz="0" w:space="0" w:color="auto"/>
            <w:right w:val="none" w:sz="0" w:space="0" w:color="auto"/>
          </w:divBdr>
        </w:div>
        <w:div w:id="1710447190">
          <w:marLeft w:val="0"/>
          <w:marRight w:val="0"/>
          <w:marTop w:val="0"/>
          <w:marBottom w:val="0"/>
          <w:divBdr>
            <w:top w:val="none" w:sz="0" w:space="0" w:color="auto"/>
            <w:left w:val="none" w:sz="0" w:space="0" w:color="auto"/>
            <w:bottom w:val="none" w:sz="0" w:space="0" w:color="auto"/>
            <w:right w:val="none" w:sz="0" w:space="0" w:color="auto"/>
          </w:divBdr>
        </w:div>
        <w:div w:id="1078139864">
          <w:marLeft w:val="0"/>
          <w:marRight w:val="0"/>
          <w:marTop w:val="0"/>
          <w:marBottom w:val="0"/>
          <w:divBdr>
            <w:top w:val="none" w:sz="0" w:space="0" w:color="auto"/>
            <w:left w:val="none" w:sz="0" w:space="0" w:color="auto"/>
            <w:bottom w:val="none" w:sz="0" w:space="0" w:color="auto"/>
            <w:right w:val="none" w:sz="0" w:space="0" w:color="auto"/>
          </w:divBdr>
        </w:div>
        <w:div w:id="1003707117">
          <w:marLeft w:val="0"/>
          <w:marRight w:val="0"/>
          <w:marTop w:val="0"/>
          <w:marBottom w:val="0"/>
          <w:divBdr>
            <w:top w:val="none" w:sz="0" w:space="0" w:color="auto"/>
            <w:left w:val="none" w:sz="0" w:space="0" w:color="auto"/>
            <w:bottom w:val="none" w:sz="0" w:space="0" w:color="auto"/>
            <w:right w:val="none" w:sz="0" w:space="0" w:color="auto"/>
          </w:divBdr>
        </w:div>
        <w:div w:id="1337684699">
          <w:marLeft w:val="0"/>
          <w:marRight w:val="0"/>
          <w:marTop w:val="0"/>
          <w:marBottom w:val="0"/>
          <w:divBdr>
            <w:top w:val="none" w:sz="0" w:space="0" w:color="auto"/>
            <w:left w:val="none" w:sz="0" w:space="0" w:color="auto"/>
            <w:bottom w:val="none" w:sz="0" w:space="0" w:color="auto"/>
            <w:right w:val="none" w:sz="0" w:space="0" w:color="auto"/>
          </w:divBdr>
        </w:div>
        <w:div w:id="1861814000">
          <w:marLeft w:val="0"/>
          <w:marRight w:val="0"/>
          <w:marTop w:val="0"/>
          <w:marBottom w:val="0"/>
          <w:divBdr>
            <w:top w:val="none" w:sz="0" w:space="0" w:color="auto"/>
            <w:left w:val="none" w:sz="0" w:space="0" w:color="auto"/>
            <w:bottom w:val="none" w:sz="0" w:space="0" w:color="auto"/>
            <w:right w:val="none" w:sz="0" w:space="0" w:color="auto"/>
          </w:divBdr>
        </w:div>
        <w:div w:id="769929267">
          <w:marLeft w:val="0"/>
          <w:marRight w:val="0"/>
          <w:marTop w:val="0"/>
          <w:marBottom w:val="0"/>
          <w:divBdr>
            <w:top w:val="none" w:sz="0" w:space="0" w:color="auto"/>
            <w:left w:val="none" w:sz="0" w:space="0" w:color="auto"/>
            <w:bottom w:val="none" w:sz="0" w:space="0" w:color="auto"/>
            <w:right w:val="none" w:sz="0" w:space="0" w:color="auto"/>
          </w:divBdr>
        </w:div>
        <w:div w:id="691146734">
          <w:marLeft w:val="0"/>
          <w:marRight w:val="0"/>
          <w:marTop w:val="0"/>
          <w:marBottom w:val="0"/>
          <w:divBdr>
            <w:top w:val="none" w:sz="0" w:space="0" w:color="auto"/>
            <w:left w:val="none" w:sz="0" w:space="0" w:color="auto"/>
            <w:bottom w:val="none" w:sz="0" w:space="0" w:color="auto"/>
            <w:right w:val="none" w:sz="0" w:space="0" w:color="auto"/>
          </w:divBdr>
        </w:div>
        <w:div w:id="846556924">
          <w:marLeft w:val="0"/>
          <w:marRight w:val="0"/>
          <w:marTop w:val="0"/>
          <w:marBottom w:val="0"/>
          <w:divBdr>
            <w:top w:val="none" w:sz="0" w:space="0" w:color="auto"/>
            <w:left w:val="none" w:sz="0" w:space="0" w:color="auto"/>
            <w:bottom w:val="none" w:sz="0" w:space="0" w:color="auto"/>
            <w:right w:val="none" w:sz="0" w:space="0" w:color="auto"/>
          </w:divBdr>
        </w:div>
        <w:div w:id="1355957134">
          <w:marLeft w:val="0"/>
          <w:marRight w:val="0"/>
          <w:marTop w:val="0"/>
          <w:marBottom w:val="0"/>
          <w:divBdr>
            <w:top w:val="none" w:sz="0" w:space="0" w:color="auto"/>
            <w:left w:val="none" w:sz="0" w:space="0" w:color="auto"/>
            <w:bottom w:val="none" w:sz="0" w:space="0" w:color="auto"/>
            <w:right w:val="none" w:sz="0" w:space="0" w:color="auto"/>
          </w:divBdr>
        </w:div>
        <w:div w:id="1257327744">
          <w:marLeft w:val="0"/>
          <w:marRight w:val="0"/>
          <w:marTop w:val="0"/>
          <w:marBottom w:val="0"/>
          <w:divBdr>
            <w:top w:val="none" w:sz="0" w:space="0" w:color="auto"/>
            <w:left w:val="none" w:sz="0" w:space="0" w:color="auto"/>
            <w:bottom w:val="none" w:sz="0" w:space="0" w:color="auto"/>
            <w:right w:val="none" w:sz="0" w:space="0" w:color="auto"/>
          </w:divBdr>
        </w:div>
        <w:div w:id="2079279745">
          <w:marLeft w:val="0"/>
          <w:marRight w:val="0"/>
          <w:marTop w:val="0"/>
          <w:marBottom w:val="0"/>
          <w:divBdr>
            <w:top w:val="none" w:sz="0" w:space="0" w:color="auto"/>
            <w:left w:val="none" w:sz="0" w:space="0" w:color="auto"/>
            <w:bottom w:val="none" w:sz="0" w:space="0" w:color="auto"/>
            <w:right w:val="none" w:sz="0" w:space="0" w:color="auto"/>
          </w:divBdr>
        </w:div>
        <w:div w:id="1143741830">
          <w:marLeft w:val="0"/>
          <w:marRight w:val="0"/>
          <w:marTop w:val="0"/>
          <w:marBottom w:val="0"/>
          <w:divBdr>
            <w:top w:val="none" w:sz="0" w:space="0" w:color="auto"/>
            <w:left w:val="none" w:sz="0" w:space="0" w:color="auto"/>
            <w:bottom w:val="none" w:sz="0" w:space="0" w:color="auto"/>
            <w:right w:val="none" w:sz="0" w:space="0" w:color="auto"/>
          </w:divBdr>
        </w:div>
        <w:div w:id="927887934">
          <w:marLeft w:val="0"/>
          <w:marRight w:val="0"/>
          <w:marTop w:val="0"/>
          <w:marBottom w:val="0"/>
          <w:divBdr>
            <w:top w:val="none" w:sz="0" w:space="0" w:color="auto"/>
            <w:left w:val="none" w:sz="0" w:space="0" w:color="auto"/>
            <w:bottom w:val="none" w:sz="0" w:space="0" w:color="auto"/>
            <w:right w:val="none" w:sz="0" w:space="0" w:color="auto"/>
          </w:divBdr>
        </w:div>
        <w:div w:id="1417433482">
          <w:marLeft w:val="0"/>
          <w:marRight w:val="0"/>
          <w:marTop w:val="0"/>
          <w:marBottom w:val="0"/>
          <w:divBdr>
            <w:top w:val="none" w:sz="0" w:space="0" w:color="auto"/>
            <w:left w:val="none" w:sz="0" w:space="0" w:color="auto"/>
            <w:bottom w:val="none" w:sz="0" w:space="0" w:color="auto"/>
            <w:right w:val="none" w:sz="0" w:space="0" w:color="auto"/>
          </w:divBdr>
        </w:div>
        <w:div w:id="884870945">
          <w:marLeft w:val="0"/>
          <w:marRight w:val="0"/>
          <w:marTop w:val="0"/>
          <w:marBottom w:val="0"/>
          <w:divBdr>
            <w:top w:val="none" w:sz="0" w:space="0" w:color="auto"/>
            <w:left w:val="none" w:sz="0" w:space="0" w:color="auto"/>
            <w:bottom w:val="none" w:sz="0" w:space="0" w:color="auto"/>
            <w:right w:val="none" w:sz="0" w:space="0" w:color="auto"/>
          </w:divBdr>
        </w:div>
        <w:div w:id="2046981532">
          <w:marLeft w:val="0"/>
          <w:marRight w:val="0"/>
          <w:marTop w:val="0"/>
          <w:marBottom w:val="0"/>
          <w:divBdr>
            <w:top w:val="none" w:sz="0" w:space="0" w:color="auto"/>
            <w:left w:val="none" w:sz="0" w:space="0" w:color="auto"/>
            <w:bottom w:val="none" w:sz="0" w:space="0" w:color="auto"/>
            <w:right w:val="none" w:sz="0" w:space="0" w:color="auto"/>
          </w:divBdr>
        </w:div>
        <w:div w:id="2081293840">
          <w:marLeft w:val="0"/>
          <w:marRight w:val="0"/>
          <w:marTop w:val="0"/>
          <w:marBottom w:val="0"/>
          <w:divBdr>
            <w:top w:val="none" w:sz="0" w:space="0" w:color="auto"/>
            <w:left w:val="none" w:sz="0" w:space="0" w:color="auto"/>
            <w:bottom w:val="none" w:sz="0" w:space="0" w:color="auto"/>
            <w:right w:val="none" w:sz="0" w:space="0" w:color="auto"/>
          </w:divBdr>
        </w:div>
        <w:div w:id="375860177">
          <w:marLeft w:val="0"/>
          <w:marRight w:val="0"/>
          <w:marTop w:val="0"/>
          <w:marBottom w:val="0"/>
          <w:divBdr>
            <w:top w:val="none" w:sz="0" w:space="0" w:color="auto"/>
            <w:left w:val="none" w:sz="0" w:space="0" w:color="auto"/>
            <w:bottom w:val="none" w:sz="0" w:space="0" w:color="auto"/>
            <w:right w:val="none" w:sz="0" w:space="0" w:color="auto"/>
          </w:divBdr>
        </w:div>
        <w:div w:id="172111231">
          <w:marLeft w:val="0"/>
          <w:marRight w:val="0"/>
          <w:marTop w:val="0"/>
          <w:marBottom w:val="0"/>
          <w:divBdr>
            <w:top w:val="none" w:sz="0" w:space="0" w:color="auto"/>
            <w:left w:val="none" w:sz="0" w:space="0" w:color="auto"/>
            <w:bottom w:val="none" w:sz="0" w:space="0" w:color="auto"/>
            <w:right w:val="none" w:sz="0" w:space="0" w:color="auto"/>
          </w:divBdr>
        </w:div>
        <w:div w:id="1442648705">
          <w:marLeft w:val="0"/>
          <w:marRight w:val="0"/>
          <w:marTop w:val="0"/>
          <w:marBottom w:val="0"/>
          <w:divBdr>
            <w:top w:val="none" w:sz="0" w:space="0" w:color="auto"/>
            <w:left w:val="none" w:sz="0" w:space="0" w:color="auto"/>
            <w:bottom w:val="none" w:sz="0" w:space="0" w:color="auto"/>
            <w:right w:val="none" w:sz="0" w:space="0" w:color="auto"/>
          </w:divBdr>
        </w:div>
        <w:div w:id="194996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xpositions.bnf.fr/guerre14/arret/03_4.htm" TargetMode="External"/><Relationship Id="rId5" Type="http://schemas.openxmlformats.org/officeDocument/2006/relationships/hyperlink" Target="https://youtu.be/am62S6SaMxk?t=239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4823-FB04-4759-9B89-240993E0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1115</Words>
  <Characters>6134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Portalez</dc:creator>
  <cp:keywords/>
  <dc:description/>
  <cp:lastModifiedBy>Christophe Portalez</cp:lastModifiedBy>
  <cp:revision>8</cp:revision>
  <dcterms:created xsi:type="dcterms:W3CDTF">2019-12-05T13:46:00Z</dcterms:created>
  <dcterms:modified xsi:type="dcterms:W3CDTF">2020-06-08T14:08:00Z</dcterms:modified>
</cp:coreProperties>
</file>