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88" w:rsidRDefault="00396FC2" w:rsidP="00155688">
      <w:r>
        <w:rPr>
          <w:noProof/>
          <w:lang w:eastAsia="fr-FR"/>
        </w:rPr>
        <w:drawing>
          <wp:inline distT="0" distB="0" distL="0" distR="0">
            <wp:extent cx="8905875" cy="572262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PER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5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688" w:rsidRPr="00155688" w:rsidRDefault="00155688" w:rsidP="0015568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  <w:highlight w:val="cyan"/>
        </w:rPr>
      </w:pPr>
      <w:r w:rsidRPr="00155688">
        <w:rPr>
          <w:rFonts w:ascii="Arial" w:hAnsi="Arial" w:cs="Arial"/>
          <w:b/>
          <w:sz w:val="28"/>
          <w:szCs w:val="28"/>
          <w:highlight w:val="cyan"/>
        </w:rPr>
        <w:lastRenderedPageBreak/>
        <w:t>FRANÇAIS : ETUDE DE LA LANGUE</w:t>
      </w:r>
    </w:p>
    <w:p w:rsidR="00155688" w:rsidRPr="00155688" w:rsidRDefault="00155688" w:rsidP="0015568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  <w:highlight w:val="cyan"/>
        </w:rPr>
      </w:pPr>
      <w:r w:rsidRPr="00155688">
        <w:rPr>
          <w:rFonts w:ascii="Arial" w:hAnsi="Arial" w:cs="Arial"/>
          <w:b/>
          <w:sz w:val="28"/>
          <w:szCs w:val="28"/>
          <w:highlight w:val="cyan"/>
        </w:rPr>
        <w:t>LA MODALISATION</w:t>
      </w:r>
    </w:p>
    <w:p w:rsidR="00155688" w:rsidRPr="00155688" w:rsidRDefault="00155688" w:rsidP="00155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Un énoncé peut être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objectif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(neutre) ou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subjectif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(traduisant un point de vue).</w:t>
      </w:r>
    </w:p>
    <w:p w:rsidR="00155688" w:rsidRPr="00155688" w:rsidRDefault="00155688" w:rsidP="0015568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shd w:val="clear" w:color="auto" w:fill="FFFFFF"/>
          <w:lang w:eastAsia="fr-FR"/>
        </w:rPr>
        <w:t>Cette robe est rouge</w:t>
      </w:r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. (constat objectif)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br/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shd w:val="clear" w:color="auto" w:fill="FFFFFF"/>
          <w:lang w:eastAsia="fr-FR"/>
        </w:rPr>
        <w:t>Cette robe est magnifique/horrible</w:t>
      </w:r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. (</w:t>
      </w: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points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 xml:space="preserve"> de vue subjectifs)</w:t>
      </w:r>
    </w:p>
    <w:p w:rsidR="00155688" w:rsidRPr="00155688" w:rsidRDefault="00155688" w:rsidP="00155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La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modalisation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est le fait d’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introduire de la subjectivité dans ce que l’on dit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, en faisant part d’un sentiment de doute ou de certitude, d’un jugement de valeur, etc. Pour cela, on emploie des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modalisateurs.</w:t>
      </w:r>
    </w:p>
    <w:p w:rsidR="00155688" w:rsidRPr="00155688" w:rsidRDefault="00155688" w:rsidP="001556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br/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shd w:val="clear" w:color="auto" w:fill="FFFFFF"/>
          <w:lang w:eastAsia="fr-FR"/>
        </w:rPr>
        <w:t>Expression du doute ou de la certitude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.</w:t>
      </w:r>
    </w:p>
    <w:p w:rsidR="00155688" w:rsidRPr="00155688" w:rsidRDefault="00155688" w:rsidP="0015568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</w:pPr>
    </w:p>
    <w:p w:rsidR="00155688" w:rsidRPr="00155688" w:rsidRDefault="00155688" w:rsidP="00155688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Les modalisateurs exprimant le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shd w:val="clear" w:color="auto" w:fill="FFFFFF"/>
          <w:lang w:eastAsia="fr-FR"/>
        </w:rPr>
        <w:t>doute</w:t>
      </w:r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 peuvent être :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br/>
      </w:r>
    </w:p>
    <w:p w:rsidR="00155688" w:rsidRPr="00155688" w:rsidRDefault="00155688" w:rsidP="00155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des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adverbes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comme 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peut-être, sans doute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, etc.</w:t>
      </w:r>
    </w:p>
    <w:p w:rsidR="00155688" w:rsidRPr="00155688" w:rsidRDefault="00155688" w:rsidP="00155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des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verbes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comme 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sembler, paraitre, avoir l’impression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, etc.</w:t>
      </w:r>
    </w:p>
    <w:p w:rsidR="00155688" w:rsidRPr="00155688" w:rsidRDefault="00155688" w:rsidP="00155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des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expressions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comme 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à mon avis, selon moi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, etc.</w:t>
      </w:r>
    </w:p>
    <w:p w:rsidR="00155688" w:rsidRPr="00155688" w:rsidRDefault="00155688" w:rsidP="00155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l’emploi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 xml:space="preserve"> du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conditionnel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ou de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phrases interrogatives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.</w:t>
      </w:r>
    </w:p>
    <w:p w:rsidR="00155688" w:rsidRPr="00155688" w:rsidRDefault="00155688" w:rsidP="0015568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</w:pPr>
    </w:p>
    <w:p w:rsidR="00155688" w:rsidRPr="00155688" w:rsidRDefault="00155688" w:rsidP="0015568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</w:pPr>
    </w:p>
    <w:p w:rsidR="00155688" w:rsidRPr="00155688" w:rsidRDefault="00155688" w:rsidP="00155688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Les modalisateurs exprimant la certitude peuvent être :</w:t>
      </w:r>
      <w:bookmarkStart w:id="0" w:name="_GoBack"/>
      <w:bookmarkEnd w:id="0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br/>
      </w:r>
    </w:p>
    <w:p w:rsidR="00155688" w:rsidRPr="00155688" w:rsidRDefault="00155688" w:rsidP="00155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des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adverbes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comme 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certainement, sans aucun doute,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etc.</w:t>
      </w:r>
    </w:p>
    <w:p w:rsidR="00155688" w:rsidRPr="00155688" w:rsidRDefault="00155688" w:rsidP="00155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des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verbes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comme 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assurer, affirmer,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etc.</w:t>
      </w:r>
    </w:p>
    <w:p w:rsidR="00155688" w:rsidRPr="00155688" w:rsidRDefault="00155688" w:rsidP="001556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lastRenderedPageBreak/>
        <w:br/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shd w:val="clear" w:color="auto" w:fill="FFFFFF"/>
          <w:lang w:eastAsia="fr-FR"/>
        </w:rPr>
        <w:t>Jugement de valeur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 xml:space="preserve">. </w:t>
      </w:r>
    </w:p>
    <w:p w:rsidR="00155688" w:rsidRPr="00155688" w:rsidRDefault="00155688" w:rsidP="001556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</w:p>
    <w:p w:rsidR="00155688" w:rsidRPr="00155688" w:rsidRDefault="00155688" w:rsidP="001556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</w:p>
    <w:p w:rsidR="00155688" w:rsidRPr="00155688" w:rsidRDefault="00155688" w:rsidP="00155688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Les modalisateurs exprimant un jugement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shd w:val="clear" w:color="auto" w:fill="FFFFFF"/>
          <w:lang w:eastAsia="fr-FR"/>
        </w:rPr>
        <w:t> péjoratif</w:t>
      </w:r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 (négatif) peuvent être :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br/>
      </w:r>
    </w:p>
    <w:p w:rsidR="00155688" w:rsidRPr="00155688" w:rsidRDefault="00155688" w:rsidP="00155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des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suffixes péjoratifs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comme 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-âtre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ou 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-</w:t>
      </w:r>
      <w:proofErr w:type="spellStart"/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ard</w:t>
      </w:r>
      <w:proofErr w:type="spellEnd"/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 xml:space="preserve"> (verdâtre, criard,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etc.)</w:t>
      </w:r>
    </w:p>
    <w:p w:rsidR="00155688" w:rsidRPr="00155688" w:rsidRDefault="00155688" w:rsidP="00155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un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lexique péjoratif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(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laid, grossier, mauvais, hypocrite, hélas,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etc.)</w:t>
      </w:r>
    </w:p>
    <w:p w:rsidR="00155688" w:rsidRPr="00155688" w:rsidRDefault="00155688" w:rsidP="00155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des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figures de style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comme la métaphore, la comparaison, l’hyperbole, etc.</w:t>
      </w:r>
    </w:p>
    <w:p w:rsidR="00155688" w:rsidRPr="00155688" w:rsidRDefault="00155688" w:rsidP="0015568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</w:pPr>
    </w:p>
    <w:p w:rsidR="00155688" w:rsidRPr="00155688" w:rsidRDefault="00155688" w:rsidP="0015568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</w:pPr>
    </w:p>
    <w:p w:rsidR="00155688" w:rsidRPr="00155688" w:rsidRDefault="00155688" w:rsidP="00155688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Les modalisateurs exprimant un jugement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shd w:val="clear" w:color="auto" w:fill="FFFFFF"/>
          <w:lang w:eastAsia="fr-FR"/>
        </w:rPr>
        <w:t>mélioratif</w:t>
      </w:r>
      <w:r w:rsidRPr="00155688">
        <w:rPr>
          <w:rFonts w:ascii="Arial" w:eastAsia="Times New Roman" w:hAnsi="Arial" w:cs="Arial"/>
          <w:sz w:val="24"/>
          <w:szCs w:val="24"/>
          <w:highlight w:val="cyan"/>
          <w:shd w:val="clear" w:color="auto" w:fill="FFFFFF"/>
          <w:lang w:eastAsia="fr-FR"/>
        </w:rPr>
        <w:t> (positif) peuvent être :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br/>
      </w:r>
    </w:p>
    <w:p w:rsidR="00155688" w:rsidRPr="00155688" w:rsidRDefault="00155688" w:rsidP="00155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un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lexique mélioratif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(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beau, brillant, par bonheur,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etc.)</w:t>
      </w:r>
    </w:p>
    <w:p w:rsidR="00155688" w:rsidRPr="00155688" w:rsidRDefault="00155688" w:rsidP="00155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des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 xml:space="preserve"> adjectifs au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superlatif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(</w:t>
      </w:r>
      <w:r w:rsidRPr="00155688">
        <w:rPr>
          <w:rFonts w:ascii="Arial" w:eastAsia="Times New Roman" w:hAnsi="Arial" w:cs="Arial"/>
          <w:i/>
          <w:iCs/>
          <w:sz w:val="24"/>
          <w:szCs w:val="24"/>
          <w:highlight w:val="cyan"/>
          <w:lang w:eastAsia="fr-FR"/>
        </w:rPr>
        <w:t>le meilleur, le plus drôle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, etc. )</w:t>
      </w:r>
    </w:p>
    <w:p w:rsidR="00155688" w:rsidRDefault="00155688" w:rsidP="00155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  <w:proofErr w:type="gramStart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des</w:t>
      </w:r>
      <w:proofErr w:type="gramEnd"/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</w:t>
      </w:r>
      <w:r w:rsidRPr="00155688">
        <w:rPr>
          <w:rFonts w:ascii="Arial" w:eastAsia="Times New Roman" w:hAnsi="Arial" w:cs="Arial"/>
          <w:b/>
          <w:bCs/>
          <w:sz w:val="24"/>
          <w:szCs w:val="24"/>
          <w:highlight w:val="cyan"/>
          <w:lang w:eastAsia="fr-FR"/>
        </w:rPr>
        <w:t>figures de style</w:t>
      </w:r>
      <w:r w:rsidRPr="00155688">
        <w:rPr>
          <w:rFonts w:ascii="Arial" w:eastAsia="Times New Roman" w:hAnsi="Arial" w:cs="Arial"/>
          <w:sz w:val="24"/>
          <w:szCs w:val="24"/>
          <w:highlight w:val="cyan"/>
          <w:lang w:eastAsia="fr-FR"/>
        </w:rPr>
        <w:t> comme l’hyperbole ou la comparaison.</w:t>
      </w:r>
    </w:p>
    <w:p w:rsidR="00155688" w:rsidRDefault="00155688" w:rsidP="001556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cyan"/>
          <w:lang w:eastAsia="fr-FR"/>
        </w:rPr>
      </w:pPr>
    </w:p>
    <w:p w:rsidR="00155688" w:rsidRPr="00155688" w:rsidRDefault="00155688" w:rsidP="001556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155688">
        <w:rPr>
          <w:rFonts w:ascii="Arial" w:eastAsia="Times New Roman" w:hAnsi="Arial" w:cs="Arial"/>
          <w:sz w:val="20"/>
          <w:szCs w:val="20"/>
          <w:u w:val="single"/>
          <w:lang w:eastAsia="fr-FR"/>
        </w:rPr>
        <w:t>Source </w:t>
      </w:r>
      <w:r w:rsidRPr="00155688">
        <w:rPr>
          <w:rFonts w:ascii="Arial" w:eastAsia="Times New Roman" w:hAnsi="Arial" w:cs="Arial"/>
          <w:sz w:val="20"/>
          <w:szCs w:val="20"/>
          <w:lang w:eastAsia="fr-FR"/>
        </w:rPr>
        <w:t xml:space="preserve">: Le livre scolaire, </w:t>
      </w:r>
      <w:r w:rsidRPr="00155688">
        <w:rPr>
          <w:rFonts w:ascii="Arial" w:eastAsia="Times New Roman" w:hAnsi="Arial" w:cs="Arial"/>
          <w:i/>
          <w:sz w:val="20"/>
          <w:szCs w:val="20"/>
          <w:lang w:eastAsia="fr-FR"/>
        </w:rPr>
        <w:t>Français 3</w:t>
      </w:r>
      <w:r w:rsidRPr="00155688">
        <w:rPr>
          <w:rFonts w:ascii="Arial" w:eastAsia="Times New Roman" w:hAnsi="Arial" w:cs="Arial"/>
          <w:i/>
          <w:sz w:val="20"/>
          <w:szCs w:val="20"/>
          <w:vertAlign w:val="superscript"/>
          <w:lang w:eastAsia="fr-FR"/>
        </w:rPr>
        <w:t>e</w:t>
      </w:r>
      <w:r w:rsidRPr="00155688">
        <w:rPr>
          <w:rFonts w:ascii="Arial" w:eastAsia="Times New Roman" w:hAnsi="Arial" w:cs="Arial"/>
          <w:sz w:val="20"/>
          <w:szCs w:val="20"/>
          <w:lang w:eastAsia="fr-FR"/>
        </w:rPr>
        <w:t>, 2016.</w:t>
      </w:r>
    </w:p>
    <w:sectPr w:rsidR="00155688" w:rsidRPr="00155688" w:rsidSect="008F50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43" w:rsidRDefault="00FC7443" w:rsidP="008F50C5">
      <w:pPr>
        <w:spacing w:after="0" w:line="240" w:lineRule="auto"/>
      </w:pPr>
      <w:r>
        <w:separator/>
      </w:r>
    </w:p>
  </w:endnote>
  <w:endnote w:type="continuationSeparator" w:id="0">
    <w:p w:rsidR="00FC7443" w:rsidRDefault="00FC7443" w:rsidP="008F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C5" w:rsidRPr="008700DA" w:rsidRDefault="008F50C5">
    <w:pPr>
      <w:pStyle w:val="Pieddepage"/>
      <w:rPr>
        <w:b/>
        <w:sz w:val="20"/>
        <w:szCs w:val="20"/>
      </w:rPr>
    </w:pPr>
    <w:r w:rsidRPr="008700DA">
      <w:rPr>
        <w:rFonts w:ascii="Segoe UI" w:hAnsi="Segoe UI" w:cs="Segoe UI"/>
        <w:b/>
        <w:sz w:val="20"/>
        <w:szCs w:val="20"/>
        <w:shd w:val="clear" w:color="auto" w:fill="FFFFFF"/>
      </w:rPr>
      <w:t>Un "</w:t>
    </w:r>
    <w:proofErr w:type="spellStart"/>
    <w:r w:rsidRPr="008700DA">
      <w:rPr>
        <w:rFonts w:ascii="Segoe UI" w:hAnsi="Segoe UI" w:cs="Segoe UI"/>
        <w:b/>
        <w:sz w:val="20"/>
        <w:szCs w:val="20"/>
        <w:shd w:val="clear" w:color="auto" w:fill="FFFFFF"/>
      </w:rPr>
      <w:t>placemat</w:t>
    </w:r>
    <w:proofErr w:type="spellEnd"/>
    <w:r w:rsidRPr="008700DA">
      <w:rPr>
        <w:rFonts w:ascii="Segoe UI" w:hAnsi="Segoe UI" w:cs="Segoe UI"/>
        <w:b/>
        <w:sz w:val="20"/>
        <w:szCs w:val="20"/>
        <w:shd w:val="clear" w:color="auto" w:fill="FFFFFF"/>
      </w:rPr>
      <w:t>"</w:t>
    </w:r>
    <w:r w:rsidR="00396FC2" w:rsidRPr="008700DA">
      <w:rPr>
        <w:rFonts w:ascii="Segoe UI" w:hAnsi="Segoe UI" w:cs="Segoe UI"/>
        <w:b/>
        <w:sz w:val="20"/>
        <w:szCs w:val="20"/>
        <w:shd w:val="clear" w:color="auto" w:fill="FFFFFF"/>
      </w:rPr>
      <w:t xml:space="preserve"> est un document qui a pour but d’o</w:t>
    </w:r>
    <w:r w:rsidRPr="008700DA">
      <w:rPr>
        <w:rFonts w:ascii="Segoe UI" w:hAnsi="Segoe UI" w:cs="Segoe UI"/>
        <w:b/>
        <w:sz w:val="20"/>
        <w:szCs w:val="20"/>
        <w:shd w:val="clear" w:color="auto" w:fill="FFFFFF"/>
      </w:rPr>
      <w:t xml:space="preserve">rganiser le travail en groupe des élèves : photocopié sur une feuille A3, les élèves réfléchissent individuellement dans les espaces latéraux puis croisent et notent leurs échanges dans la partie centrale. </w:t>
    </w:r>
    <w:r w:rsidRPr="008700DA">
      <w:rPr>
        <w:rFonts w:ascii="Segoe UI" w:hAnsi="Segoe UI" w:cs="Segoe UI"/>
        <w:b/>
        <w:sz w:val="20"/>
        <w:szCs w:val="20"/>
        <w:u w:val="single"/>
        <w:shd w:val="clear" w:color="auto" w:fill="FFFFFF"/>
      </w:rPr>
      <w:t>Source</w:t>
    </w:r>
    <w:r w:rsidRPr="008700DA">
      <w:rPr>
        <w:rFonts w:ascii="Segoe UI" w:hAnsi="Segoe UI" w:cs="Segoe UI"/>
        <w:b/>
        <w:sz w:val="20"/>
        <w:szCs w:val="20"/>
        <w:shd w:val="clear" w:color="auto" w:fill="FFFFFF"/>
      </w:rPr>
      <w:t> : Sylvain CONNAC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43" w:rsidRDefault="00FC7443" w:rsidP="008F50C5">
      <w:pPr>
        <w:spacing w:after="0" w:line="240" w:lineRule="auto"/>
      </w:pPr>
      <w:r>
        <w:separator/>
      </w:r>
    </w:p>
  </w:footnote>
  <w:footnote w:type="continuationSeparator" w:id="0">
    <w:p w:rsidR="00FC7443" w:rsidRDefault="00FC7443" w:rsidP="008F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B7E"/>
    <w:multiLevelType w:val="multilevel"/>
    <w:tmpl w:val="CD6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E1DF2"/>
    <w:multiLevelType w:val="multilevel"/>
    <w:tmpl w:val="197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02DF0"/>
    <w:multiLevelType w:val="multilevel"/>
    <w:tmpl w:val="279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26598"/>
    <w:multiLevelType w:val="hybridMultilevel"/>
    <w:tmpl w:val="0FDA94D0"/>
    <w:lvl w:ilvl="0" w:tplc="124A1B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4666"/>
    <w:multiLevelType w:val="hybridMultilevel"/>
    <w:tmpl w:val="FAE4A308"/>
    <w:lvl w:ilvl="0" w:tplc="ADA8B5E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92B30"/>
    <w:multiLevelType w:val="multilevel"/>
    <w:tmpl w:val="2EE2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07D62"/>
    <w:multiLevelType w:val="multilevel"/>
    <w:tmpl w:val="BFD6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03017"/>
    <w:multiLevelType w:val="multilevel"/>
    <w:tmpl w:val="5EE6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5"/>
    <w:rsid w:val="00155688"/>
    <w:rsid w:val="00396FC2"/>
    <w:rsid w:val="008700DA"/>
    <w:rsid w:val="008F50C5"/>
    <w:rsid w:val="00CC5C13"/>
    <w:rsid w:val="00D146D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D6AD-8D90-4DDA-9A3D-000C46F0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0C5"/>
  </w:style>
  <w:style w:type="paragraph" w:styleId="Pieddepage">
    <w:name w:val="footer"/>
    <w:basedOn w:val="Normal"/>
    <w:link w:val="PieddepageCar"/>
    <w:uiPriority w:val="99"/>
    <w:unhideWhenUsed/>
    <w:rsid w:val="008F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0C5"/>
  </w:style>
  <w:style w:type="character" w:styleId="lev">
    <w:name w:val="Strong"/>
    <w:basedOn w:val="Policepardfaut"/>
    <w:uiPriority w:val="22"/>
    <w:qFormat/>
    <w:rsid w:val="00155688"/>
    <w:rPr>
      <w:b/>
      <w:bCs/>
    </w:rPr>
  </w:style>
  <w:style w:type="character" w:styleId="Accentuation">
    <w:name w:val="Emphasis"/>
    <w:basedOn w:val="Policepardfaut"/>
    <w:uiPriority w:val="20"/>
    <w:qFormat/>
    <w:rsid w:val="00155688"/>
    <w:rPr>
      <w:i/>
      <w:iCs/>
    </w:rPr>
  </w:style>
  <w:style w:type="character" w:customStyle="1" w:styleId="lls-viewer-a">
    <w:name w:val="lls-viewer-a"/>
    <w:basedOn w:val="Policepardfaut"/>
    <w:rsid w:val="00155688"/>
  </w:style>
  <w:style w:type="character" w:styleId="Lienhypertexte">
    <w:name w:val="Hyperlink"/>
    <w:basedOn w:val="Policepardfaut"/>
    <w:uiPriority w:val="99"/>
    <w:semiHidden/>
    <w:unhideWhenUsed/>
    <w:rsid w:val="001556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5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VINCENT</dc:creator>
  <cp:keywords/>
  <dc:description/>
  <cp:lastModifiedBy>Alexandre Quet</cp:lastModifiedBy>
  <cp:revision>2</cp:revision>
  <dcterms:created xsi:type="dcterms:W3CDTF">2021-05-09T15:43:00Z</dcterms:created>
  <dcterms:modified xsi:type="dcterms:W3CDTF">2021-05-09T15:43:00Z</dcterms:modified>
</cp:coreProperties>
</file>