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70" w:rsidRPr="00B612D9" w:rsidRDefault="00764D70" w:rsidP="00764D70">
      <w:pPr>
        <w:pStyle w:val="Default"/>
        <w:rPr>
          <w:rFonts w:ascii="Arial" w:hAnsi="Arial" w:cs="Arial"/>
        </w:rPr>
      </w:pPr>
      <w:bookmarkStart w:id="0" w:name="_GoBack"/>
      <w:bookmarkEnd w:id="0"/>
      <w:r w:rsidRPr="00B612D9">
        <w:rPr>
          <w:rFonts w:ascii="Arial" w:hAnsi="Arial" w:cs="Arial"/>
          <w:noProof/>
          <w:lang w:eastAsia="fr-FR"/>
        </w:rPr>
        <w:drawing>
          <wp:anchor distT="0" distB="0" distL="114300" distR="114300" simplePos="0" relativeHeight="251659264" behindDoc="1" locked="0" layoutInCell="1" allowOverlap="1" wp14:anchorId="4557BD1B" wp14:editId="51FE9B9C">
            <wp:simplePos x="0" y="0"/>
            <wp:positionH relativeFrom="column">
              <wp:posOffset>0</wp:posOffset>
            </wp:positionH>
            <wp:positionV relativeFrom="paragraph">
              <wp:posOffset>0</wp:posOffset>
            </wp:positionV>
            <wp:extent cx="1708785" cy="1193165"/>
            <wp:effectExtent l="0" t="0" r="5715" b="6985"/>
            <wp:wrapTight wrapText="bothSides">
              <wp:wrapPolygon edited="0">
                <wp:start x="0" y="0"/>
                <wp:lineTo x="0" y="21382"/>
                <wp:lineTo x="21431" y="21382"/>
                <wp:lineTo x="21431" y="0"/>
                <wp:lineTo x="0" y="0"/>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14:sizeRelH relativeFrom="page">
              <wp14:pctWidth>0</wp14:pctWidth>
            </wp14:sizeRelH>
            <wp14:sizeRelV relativeFrom="page">
              <wp14:pctHeight>0</wp14:pctHeight>
            </wp14:sizeRelV>
          </wp:anchor>
        </w:drawing>
      </w:r>
    </w:p>
    <w:p w:rsidR="00764D70" w:rsidRPr="00B612D9" w:rsidRDefault="00764D70" w:rsidP="00764D70">
      <w:pPr>
        <w:pStyle w:val="Default"/>
        <w:rPr>
          <w:rFonts w:ascii="Arial" w:hAnsi="Arial" w:cs="Arial"/>
        </w:rPr>
      </w:pPr>
    </w:p>
    <w:p w:rsidR="00764D70" w:rsidRPr="00B612D9" w:rsidRDefault="00764D70" w:rsidP="00764D70">
      <w:pPr>
        <w:pStyle w:val="Default"/>
        <w:jc w:val="center"/>
        <w:rPr>
          <w:rFonts w:ascii="Arial" w:hAnsi="Arial" w:cs="Arial"/>
          <w:sz w:val="36"/>
          <w:szCs w:val="44"/>
        </w:rPr>
      </w:pPr>
      <w:r w:rsidRPr="00B612D9">
        <w:rPr>
          <w:rFonts w:ascii="Arial" w:hAnsi="Arial" w:cs="Arial"/>
          <w:b/>
          <w:bCs/>
          <w:sz w:val="36"/>
          <w:szCs w:val="44"/>
        </w:rPr>
        <w:t>BILAN RELATIF AUX RÉSULTATS DE MESURAGE DU RADON</w:t>
      </w:r>
    </w:p>
    <w:p w:rsidR="00764D70" w:rsidRPr="00B612D9" w:rsidRDefault="00764D70" w:rsidP="00764D70">
      <w:pPr>
        <w:pStyle w:val="Default"/>
        <w:rPr>
          <w:rFonts w:ascii="Arial" w:hAnsi="Arial" w:cs="Arial"/>
          <w:sz w:val="23"/>
          <w:szCs w:val="23"/>
        </w:rPr>
      </w:pPr>
    </w:p>
    <w:p w:rsidR="00764D70" w:rsidRPr="00B612D9" w:rsidRDefault="00764D70" w:rsidP="00764D70">
      <w:pPr>
        <w:pStyle w:val="Default"/>
        <w:rPr>
          <w:rFonts w:ascii="Arial" w:hAnsi="Arial" w:cs="Arial"/>
          <w:sz w:val="23"/>
          <w:szCs w:val="23"/>
        </w:rPr>
      </w:pPr>
    </w:p>
    <w:p w:rsidR="00764D70" w:rsidRPr="00B612D9" w:rsidRDefault="00764D70" w:rsidP="00764D70">
      <w:pPr>
        <w:pStyle w:val="Default"/>
        <w:rPr>
          <w:rFonts w:ascii="Arial" w:hAnsi="Arial" w:cs="Arial"/>
          <w:sz w:val="23"/>
          <w:szCs w:val="23"/>
        </w:rPr>
      </w:pPr>
    </w:p>
    <w:p w:rsidR="00764D70" w:rsidRPr="00B612D9" w:rsidRDefault="00764D70" w:rsidP="00764D70">
      <w:pPr>
        <w:pStyle w:val="Default"/>
        <w:rPr>
          <w:rFonts w:ascii="Arial" w:hAnsi="Arial" w:cs="Arial"/>
          <w:sz w:val="23"/>
          <w:szCs w:val="23"/>
        </w:rPr>
      </w:pPr>
    </w:p>
    <w:p w:rsidR="00764D70" w:rsidRPr="00B612D9" w:rsidRDefault="00764D70" w:rsidP="00B612D9">
      <w:pPr>
        <w:pStyle w:val="Default"/>
        <w:jc w:val="both"/>
        <w:rPr>
          <w:rFonts w:ascii="Arial" w:hAnsi="Arial" w:cs="Arial"/>
        </w:rPr>
      </w:pPr>
      <w:r w:rsidRPr="00B612D9">
        <w:rPr>
          <w:rFonts w:ascii="Arial" w:hAnsi="Arial" w:cs="Arial"/>
        </w:rPr>
        <w:t>Conformément aux dispositions des articles L. 1333-22 et R. 1333-33 et suivants du code de la santé publique, notre établissement a fait l’objet de mesurages de l’activité volumique en radon</w:t>
      </w:r>
      <w:r w:rsidR="00B612D9" w:rsidRPr="00B612D9">
        <w:rPr>
          <w:rFonts w:ascii="Arial" w:hAnsi="Arial" w:cs="Arial"/>
        </w:rPr>
        <w:t>, de la part du propriétaire des locaux,</w:t>
      </w:r>
      <w:r w:rsidRPr="00B612D9">
        <w:rPr>
          <w:rFonts w:ascii="Arial" w:hAnsi="Arial" w:cs="Arial"/>
        </w:rPr>
        <w:t xml:space="preserve"> selon les normes en vigueur. L’activité volumique retenue pour l’établissement, est présentée dans le tableau </w:t>
      </w:r>
      <w:r w:rsidR="00B612D9" w:rsidRPr="00B612D9">
        <w:rPr>
          <w:rFonts w:ascii="Arial" w:hAnsi="Arial" w:cs="Arial"/>
        </w:rPr>
        <w:t>ci-dessous :</w:t>
      </w:r>
      <w:r w:rsidRPr="00B612D9">
        <w:rPr>
          <w:rFonts w:ascii="Arial" w:hAnsi="Arial" w:cs="Arial"/>
        </w:rPr>
        <w:t xml:space="preserve"> </w:t>
      </w:r>
    </w:p>
    <w:p w:rsidR="00B612D9" w:rsidRPr="00B612D9" w:rsidRDefault="00B612D9" w:rsidP="00764D70">
      <w:pPr>
        <w:pStyle w:val="Default"/>
        <w:rPr>
          <w:rFonts w:ascii="Arial" w:hAnsi="Arial" w:cs="Arial"/>
        </w:rPr>
      </w:pPr>
    </w:p>
    <w:p w:rsidR="00764D70" w:rsidRPr="00B612D9" w:rsidRDefault="00764D70" w:rsidP="00764D70">
      <w:pPr>
        <w:pStyle w:val="Default"/>
        <w:rPr>
          <w:rFonts w:ascii="Arial" w:hAnsi="Arial" w:cs="Arial"/>
        </w:rPr>
      </w:pPr>
      <w:r w:rsidRPr="00B612D9">
        <w:rPr>
          <w:rFonts w:ascii="Arial" w:hAnsi="Arial" w:cs="Arial"/>
          <w:b/>
        </w:rPr>
        <w:t>Nom de l’établissement :</w:t>
      </w:r>
      <w:r w:rsidRPr="00B612D9">
        <w:rPr>
          <w:rFonts w:ascii="Arial" w:hAnsi="Arial" w:cs="Arial"/>
        </w:rPr>
        <w:t xml:space="preserve"> XXXXXXX nom XXXXXXX – XXXXXXX adresse XXXXXXX </w:t>
      </w:r>
    </w:p>
    <w:p w:rsidR="00B612D9" w:rsidRPr="00B612D9" w:rsidRDefault="00B612D9" w:rsidP="00764D70">
      <w:pPr>
        <w:pStyle w:val="Default"/>
        <w:rPr>
          <w:rFonts w:ascii="Arial" w:hAnsi="Arial" w:cs="Arial"/>
        </w:rPr>
      </w:pPr>
    </w:p>
    <w:p w:rsidR="00764D70" w:rsidRPr="00B612D9" w:rsidRDefault="00B612D9" w:rsidP="00764D70">
      <w:pPr>
        <w:pStyle w:val="Default"/>
        <w:rPr>
          <w:rFonts w:ascii="Arial" w:hAnsi="Arial" w:cs="Arial"/>
        </w:rPr>
      </w:pPr>
      <w:r w:rsidRPr="00B612D9">
        <w:rPr>
          <w:rFonts w:ascii="Arial" w:hAnsi="Arial" w:cs="Arial"/>
        </w:rPr>
        <w:t>N</w:t>
      </w:r>
      <w:r w:rsidR="00764D70" w:rsidRPr="00B612D9">
        <w:rPr>
          <w:rFonts w:ascii="Arial" w:hAnsi="Arial" w:cs="Arial"/>
        </w:rPr>
        <w:t xml:space="preserve">om de l’organisme de mesurage : </w:t>
      </w:r>
      <w:r w:rsidR="004D055F">
        <w:rPr>
          <w:rFonts w:ascii="Arial" w:hAnsi="Arial" w:cs="Arial"/>
        </w:rPr>
        <w:t>XXXXXXXX</w:t>
      </w:r>
    </w:p>
    <w:p w:rsidR="00B612D9" w:rsidRPr="00B612D9" w:rsidRDefault="00B612D9" w:rsidP="00764D70">
      <w:pPr>
        <w:pStyle w:val="Default"/>
        <w:rPr>
          <w:rFonts w:ascii="Arial" w:hAnsi="Arial" w:cs="Arial"/>
        </w:rPr>
      </w:pPr>
    </w:p>
    <w:p w:rsidR="00764D70" w:rsidRPr="00B612D9" w:rsidRDefault="00764D70" w:rsidP="00764D70">
      <w:pPr>
        <w:pStyle w:val="Default"/>
        <w:rPr>
          <w:rFonts w:ascii="Arial" w:hAnsi="Arial" w:cs="Arial"/>
          <w:b/>
          <w:bCs/>
        </w:rPr>
      </w:pPr>
      <w:r w:rsidRPr="00B612D9">
        <w:rPr>
          <w:rFonts w:ascii="Arial" w:hAnsi="Arial" w:cs="Arial"/>
        </w:rPr>
        <w:t xml:space="preserve">Période de mesurage initial : </w:t>
      </w:r>
      <w:r w:rsidRPr="00B612D9">
        <w:rPr>
          <w:rFonts w:ascii="Arial" w:hAnsi="Arial" w:cs="Arial"/>
          <w:b/>
          <w:bCs/>
        </w:rPr>
        <w:t xml:space="preserve">du </w:t>
      </w:r>
      <w:r w:rsidR="004D055F">
        <w:rPr>
          <w:rFonts w:ascii="Arial" w:hAnsi="Arial" w:cs="Arial"/>
          <w:b/>
          <w:bCs/>
        </w:rPr>
        <w:t>xx/xx/</w:t>
      </w:r>
      <w:proofErr w:type="spellStart"/>
      <w:r w:rsidR="004D055F">
        <w:rPr>
          <w:rFonts w:ascii="Arial" w:hAnsi="Arial" w:cs="Arial"/>
          <w:b/>
          <w:bCs/>
        </w:rPr>
        <w:t>xxxx</w:t>
      </w:r>
      <w:proofErr w:type="spellEnd"/>
      <w:r w:rsidRPr="00B612D9">
        <w:rPr>
          <w:rFonts w:ascii="Arial" w:hAnsi="Arial" w:cs="Arial"/>
          <w:b/>
          <w:bCs/>
        </w:rPr>
        <w:t xml:space="preserve"> au </w:t>
      </w:r>
      <w:r w:rsidR="004D055F">
        <w:rPr>
          <w:rFonts w:ascii="Arial" w:hAnsi="Arial" w:cs="Arial"/>
          <w:b/>
          <w:bCs/>
        </w:rPr>
        <w:t>xx/xx/</w:t>
      </w:r>
      <w:proofErr w:type="spellStart"/>
      <w:r w:rsidR="004D055F">
        <w:rPr>
          <w:rFonts w:ascii="Arial" w:hAnsi="Arial" w:cs="Arial"/>
          <w:b/>
          <w:bCs/>
        </w:rPr>
        <w:t>xxxx</w:t>
      </w:r>
      <w:proofErr w:type="spellEnd"/>
      <w:r w:rsidRPr="00B612D9">
        <w:rPr>
          <w:rFonts w:ascii="Arial" w:hAnsi="Arial" w:cs="Arial"/>
          <w:b/>
          <w:bCs/>
        </w:rPr>
        <w:t xml:space="preserve"> </w:t>
      </w:r>
    </w:p>
    <w:p w:rsidR="00B612D9" w:rsidRPr="00B612D9" w:rsidRDefault="00B612D9" w:rsidP="00764D70">
      <w:pPr>
        <w:pStyle w:val="Default"/>
        <w:rPr>
          <w:rFonts w:ascii="Arial" w:hAnsi="Arial" w:cs="Arial"/>
          <w:b/>
          <w:bCs/>
        </w:rPr>
      </w:pPr>
    </w:p>
    <w:p w:rsidR="00B612D9" w:rsidRPr="00B612D9" w:rsidRDefault="00B612D9" w:rsidP="00764D70">
      <w:pPr>
        <w:pStyle w:val="Default"/>
        <w:rPr>
          <w:rFonts w:ascii="Arial" w:hAnsi="Arial" w:cs="Arial"/>
          <w:b/>
          <w:bCs/>
        </w:rPr>
      </w:pPr>
      <w:r w:rsidRPr="00B612D9">
        <w:rPr>
          <w:rFonts w:ascii="Arial" w:hAnsi="Arial" w:cs="Arial"/>
          <w:b/>
          <w:bCs/>
        </w:rPr>
        <w:t>Résultat de l’activité volumique initial en radon :</w:t>
      </w:r>
    </w:p>
    <w:p w:rsidR="00B612D9" w:rsidRPr="00B612D9" w:rsidRDefault="00B612D9" w:rsidP="00764D70">
      <w:pPr>
        <w:pStyle w:val="Default"/>
        <w:rPr>
          <w:rFonts w:ascii="Arial" w:hAnsi="Arial" w:cs="Arial"/>
          <w:b/>
          <w:bCs/>
        </w:rPr>
      </w:pPr>
    </w:p>
    <w:tbl>
      <w:tblPr>
        <w:tblStyle w:val="Grilledutableau"/>
        <w:tblW w:w="0" w:type="auto"/>
        <w:tblLook w:val="04A0" w:firstRow="1" w:lastRow="0" w:firstColumn="1" w:lastColumn="0" w:noHBand="0" w:noVBand="1"/>
      </w:tblPr>
      <w:tblGrid>
        <w:gridCol w:w="4664"/>
        <w:gridCol w:w="4665"/>
        <w:gridCol w:w="4665"/>
      </w:tblGrid>
      <w:tr w:rsidR="00B612D9" w:rsidRPr="00B612D9" w:rsidTr="00686087">
        <w:tc>
          <w:tcPr>
            <w:tcW w:w="9329" w:type="dxa"/>
            <w:gridSpan w:val="2"/>
          </w:tcPr>
          <w:p w:rsidR="00B612D9" w:rsidRPr="00B612D9" w:rsidRDefault="00B612D9" w:rsidP="00B612D9">
            <w:pPr>
              <w:pStyle w:val="Default"/>
              <w:jc w:val="center"/>
              <w:rPr>
                <w:rFonts w:ascii="Arial" w:hAnsi="Arial" w:cs="Arial"/>
              </w:rPr>
            </w:pPr>
            <w:r w:rsidRPr="00B612D9">
              <w:rPr>
                <w:rFonts w:ascii="Arial" w:hAnsi="Arial" w:cs="Arial"/>
                <w:b/>
                <w:bCs/>
              </w:rPr>
              <w:t>ACTIVITÉ VOLUMIQUE POUR L’ÉTABLISSEMENT</w:t>
            </w:r>
            <w:r w:rsidR="006D1399">
              <w:rPr>
                <w:rFonts w:ascii="Arial" w:hAnsi="Arial" w:cs="Arial"/>
                <w:b/>
                <w:bCs/>
              </w:rPr>
              <w:t xml:space="preserve"> APRES TRAVAUX</w:t>
            </w:r>
          </w:p>
          <w:p w:rsidR="00B612D9" w:rsidRPr="00B612D9" w:rsidRDefault="00B612D9" w:rsidP="00B612D9">
            <w:pPr>
              <w:pStyle w:val="Default"/>
              <w:jc w:val="center"/>
              <w:rPr>
                <w:rFonts w:ascii="Arial" w:hAnsi="Arial" w:cs="Arial"/>
              </w:rPr>
            </w:pPr>
            <w:r w:rsidRPr="00B612D9">
              <w:rPr>
                <w:rFonts w:ascii="Arial" w:hAnsi="Arial" w:cs="Arial"/>
                <w:b/>
                <w:bCs/>
              </w:rPr>
              <w:t>en Bq.m</w:t>
            </w:r>
            <w:r w:rsidRPr="00B612D9">
              <w:rPr>
                <w:rFonts w:ascii="Arial" w:hAnsi="Arial" w:cs="Arial"/>
                <w:b/>
                <w:bCs/>
                <w:vertAlign w:val="superscript"/>
              </w:rPr>
              <w:t>-3</w:t>
            </w:r>
            <w:r w:rsidRPr="00B612D9">
              <w:rPr>
                <w:rFonts w:ascii="Arial" w:hAnsi="Arial" w:cs="Arial"/>
                <w:b/>
                <w:bCs/>
              </w:rPr>
              <w:t xml:space="preserve"> (2)</w:t>
            </w:r>
          </w:p>
        </w:tc>
        <w:tc>
          <w:tcPr>
            <w:tcW w:w="4665" w:type="dxa"/>
          </w:tcPr>
          <w:p w:rsidR="00B612D9" w:rsidRPr="00B612D9" w:rsidRDefault="00B612D9" w:rsidP="00B612D9">
            <w:pPr>
              <w:pStyle w:val="Default"/>
              <w:jc w:val="center"/>
              <w:rPr>
                <w:rFonts w:ascii="Arial" w:hAnsi="Arial" w:cs="Arial"/>
              </w:rPr>
            </w:pPr>
            <w:r w:rsidRPr="00B612D9">
              <w:rPr>
                <w:rFonts w:ascii="Arial" w:hAnsi="Arial" w:cs="Arial"/>
                <w:b/>
                <w:bCs/>
              </w:rPr>
              <w:t>NIVEAU DE RÉFÉRENCE (1)</w:t>
            </w:r>
          </w:p>
          <w:p w:rsidR="00B612D9" w:rsidRPr="00B612D9" w:rsidRDefault="00B612D9" w:rsidP="00B612D9">
            <w:pPr>
              <w:pStyle w:val="Default"/>
              <w:jc w:val="center"/>
              <w:rPr>
                <w:rFonts w:ascii="Arial" w:hAnsi="Arial" w:cs="Arial"/>
              </w:rPr>
            </w:pPr>
            <w:r w:rsidRPr="00B612D9">
              <w:rPr>
                <w:rFonts w:ascii="Arial" w:hAnsi="Arial" w:cs="Arial"/>
                <w:b/>
                <w:bCs/>
              </w:rPr>
              <w:t>en Bq.m</w:t>
            </w:r>
            <w:r w:rsidRPr="00B612D9">
              <w:rPr>
                <w:rFonts w:ascii="Arial" w:hAnsi="Arial" w:cs="Arial"/>
                <w:b/>
                <w:bCs/>
                <w:vertAlign w:val="superscript"/>
              </w:rPr>
              <w:t>-3</w:t>
            </w:r>
          </w:p>
        </w:tc>
      </w:tr>
      <w:tr w:rsidR="00B612D9" w:rsidRPr="00B612D9" w:rsidTr="00B612D9">
        <w:tc>
          <w:tcPr>
            <w:tcW w:w="4664" w:type="dxa"/>
          </w:tcPr>
          <w:p w:rsidR="00B612D9" w:rsidRPr="00B612D9" w:rsidRDefault="00B612D9" w:rsidP="00B612D9">
            <w:pPr>
              <w:pStyle w:val="Default"/>
              <w:jc w:val="center"/>
              <w:rPr>
                <w:rFonts w:ascii="Arial" w:hAnsi="Arial" w:cs="Arial"/>
              </w:rPr>
            </w:pPr>
            <w:r w:rsidRPr="00B612D9">
              <w:rPr>
                <w:rFonts w:ascii="Arial" w:hAnsi="Arial" w:cs="Arial"/>
              </w:rPr>
              <w:t xml:space="preserve">Bâtiment A : </w:t>
            </w:r>
          </w:p>
        </w:tc>
        <w:tc>
          <w:tcPr>
            <w:tcW w:w="4665" w:type="dxa"/>
          </w:tcPr>
          <w:p w:rsidR="00B612D9" w:rsidRPr="00B612D9" w:rsidRDefault="00B612D9" w:rsidP="00B612D9">
            <w:pPr>
              <w:pStyle w:val="Default"/>
              <w:jc w:val="center"/>
              <w:rPr>
                <w:rFonts w:ascii="Arial" w:hAnsi="Arial" w:cs="Arial"/>
              </w:rPr>
            </w:pPr>
            <w:r w:rsidRPr="00B612D9">
              <w:rPr>
                <w:rFonts w:ascii="Arial" w:hAnsi="Arial" w:cs="Arial"/>
              </w:rPr>
              <w:t>Bâtiment C :</w:t>
            </w:r>
          </w:p>
        </w:tc>
        <w:tc>
          <w:tcPr>
            <w:tcW w:w="4665" w:type="dxa"/>
            <w:vMerge w:val="restart"/>
            <w:vAlign w:val="center"/>
          </w:tcPr>
          <w:p w:rsidR="00B612D9" w:rsidRPr="00B612D9" w:rsidRDefault="00B612D9" w:rsidP="00B612D9">
            <w:pPr>
              <w:pStyle w:val="Default"/>
              <w:jc w:val="center"/>
              <w:rPr>
                <w:rFonts w:ascii="Arial" w:hAnsi="Arial" w:cs="Arial"/>
              </w:rPr>
            </w:pPr>
            <w:r w:rsidRPr="00B612D9">
              <w:rPr>
                <w:rFonts w:ascii="Arial" w:hAnsi="Arial" w:cs="Arial"/>
              </w:rPr>
              <w:t>300</w:t>
            </w:r>
          </w:p>
        </w:tc>
      </w:tr>
      <w:tr w:rsidR="00B612D9" w:rsidRPr="00B612D9" w:rsidTr="00B612D9">
        <w:tc>
          <w:tcPr>
            <w:tcW w:w="4664" w:type="dxa"/>
          </w:tcPr>
          <w:p w:rsidR="00B612D9" w:rsidRPr="00B612D9" w:rsidRDefault="00B612D9" w:rsidP="00B612D9">
            <w:pPr>
              <w:pStyle w:val="Default"/>
              <w:jc w:val="center"/>
              <w:rPr>
                <w:rFonts w:ascii="Arial" w:hAnsi="Arial" w:cs="Arial"/>
              </w:rPr>
            </w:pPr>
            <w:r w:rsidRPr="00B612D9">
              <w:rPr>
                <w:rFonts w:ascii="Arial" w:hAnsi="Arial" w:cs="Arial"/>
              </w:rPr>
              <w:t xml:space="preserve">Bâtiment B : </w:t>
            </w:r>
          </w:p>
        </w:tc>
        <w:tc>
          <w:tcPr>
            <w:tcW w:w="4665" w:type="dxa"/>
          </w:tcPr>
          <w:p w:rsidR="00B612D9" w:rsidRPr="00B612D9" w:rsidRDefault="00B612D9" w:rsidP="00B612D9">
            <w:pPr>
              <w:pStyle w:val="Default"/>
              <w:jc w:val="center"/>
              <w:rPr>
                <w:rFonts w:ascii="Arial" w:hAnsi="Arial" w:cs="Arial"/>
              </w:rPr>
            </w:pPr>
            <w:r w:rsidRPr="00B612D9">
              <w:rPr>
                <w:rFonts w:ascii="Arial" w:hAnsi="Arial" w:cs="Arial"/>
              </w:rPr>
              <w:t xml:space="preserve">Bâtiment D : </w:t>
            </w:r>
          </w:p>
        </w:tc>
        <w:tc>
          <w:tcPr>
            <w:tcW w:w="4665" w:type="dxa"/>
            <w:vMerge/>
          </w:tcPr>
          <w:p w:rsidR="00B612D9" w:rsidRPr="00B612D9" w:rsidRDefault="00B612D9" w:rsidP="00B612D9">
            <w:pPr>
              <w:pStyle w:val="Default"/>
              <w:jc w:val="center"/>
              <w:rPr>
                <w:rFonts w:ascii="Arial" w:hAnsi="Arial" w:cs="Arial"/>
              </w:rPr>
            </w:pPr>
          </w:p>
        </w:tc>
      </w:tr>
      <w:tr w:rsidR="00B612D9" w:rsidRPr="00B612D9" w:rsidTr="003B58A1">
        <w:tc>
          <w:tcPr>
            <w:tcW w:w="13994" w:type="dxa"/>
            <w:gridSpan w:val="3"/>
          </w:tcPr>
          <w:p w:rsidR="00B612D9" w:rsidRPr="004D055F" w:rsidRDefault="00B612D9" w:rsidP="00B612D9">
            <w:pPr>
              <w:pStyle w:val="Default"/>
              <w:rPr>
                <w:rFonts w:ascii="Arial" w:hAnsi="Arial" w:cs="Arial"/>
                <w:sz w:val="20"/>
              </w:rPr>
            </w:pPr>
            <w:r w:rsidRPr="004D055F">
              <w:rPr>
                <w:rFonts w:ascii="Arial" w:hAnsi="Arial" w:cs="Arial"/>
                <w:bCs/>
                <w:sz w:val="20"/>
              </w:rPr>
              <w:t xml:space="preserve">(1) Niveau de référence: niveau au-dessus duquel il est jugé inapproprié de permettre l’exposition des personnes. </w:t>
            </w:r>
          </w:p>
          <w:p w:rsidR="00B612D9" w:rsidRPr="00B612D9" w:rsidRDefault="00B612D9" w:rsidP="00B612D9">
            <w:pPr>
              <w:pStyle w:val="Default"/>
              <w:rPr>
                <w:rFonts w:ascii="Arial" w:hAnsi="Arial" w:cs="Arial"/>
              </w:rPr>
            </w:pPr>
            <w:r w:rsidRPr="004D055F">
              <w:rPr>
                <w:rFonts w:ascii="Arial" w:hAnsi="Arial" w:cs="Arial"/>
                <w:bCs/>
                <w:sz w:val="20"/>
              </w:rPr>
              <w:t>(2) L’activité volumique en radon est exprimée en Becquerels par mètre cube (Bq.m</w:t>
            </w:r>
            <w:r w:rsidRPr="004D055F">
              <w:rPr>
                <w:rFonts w:ascii="Arial" w:hAnsi="Arial" w:cs="Arial"/>
                <w:bCs/>
                <w:sz w:val="20"/>
                <w:vertAlign w:val="superscript"/>
              </w:rPr>
              <w:t>-3</w:t>
            </w:r>
            <w:r w:rsidRPr="004D055F">
              <w:rPr>
                <w:rFonts w:ascii="Arial" w:hAnsi="Arial" w:cs="Arial"/>
                <w:bCs/>
                <w:sz w:val="20"/>
              </w:rPr>
              <w:t>). Cette unité correspond au nombre d’atomes qui se désintègrent par seconde par mètre cube de gaz.</w:t>
            </w:r>
          </w:p>
        </w:tc>
      </w:tr>
    </w:tbl>
    <w:p w:rsidR="00FB55EF" w:rsidRPr="00B612D9" w:rsidRDefault="00FB55EF" w:rsidP="00B612D9">
      <w:pPr>
        <w:pStyle w:val="Default"/>
        <w:rPr>
          <w:rFonts w:ascii="Arial" w:hAnsi="Arial" w:cs="Arial"/>
        </w:rPr>
      </w:pPr>
    </w:p>
    <w:p w:rsidR="00B612D9" w:rsidRDefault="006D1399" w:rsidP="001E4FB9">
      <w:pPr>
        <w:pStyle w:val="Default"/>
        <w:jc w:val="both"/>
        <w:rPr>
          <w:rFonts w:ascii="Arial" w:hAnsi="Arial" w:cs="Arial"/>
        </w:rPr>
      </w:pPr>
      <w:r w:rsidRPr="001E4FB9">
        <w:rPr>
          <w:rFonts w:ascii="Arial" w:hAnsi="Arial" w:cs="Arial"/>
        </w:rPr>
        <w:t>En cas de dépassement du niveau de référence en radon fixé à l'</w:t>
      </w:r>
      <w:hyperlink r:id="rId6" w:tooltip="Code de la santé publique - art. R1333-28 (V)" w:history="1">
        <w:r w:rsidRPr="001E4FB9">
          <w:rPr>
            <w:rStyle w:val="Lienhypertexte"/>
            <w:rFonts w:ascii="Arial" w:hAnsi="Arial" w:cs="Arial"/>
          </w:rPr>
          <w:t>article R. 1333-28 du code de la santé publique</w:t>
        </w:r>
      </w:hyperlink>
      <w:r w:rsidRPr="001E4FB9">
        <w:rPr>
          <w:rFonts w:ascii="Arial" w:hAnsi="Arial" w:cs="Arial"/>
        </w:rPr>
        <w:t>, notre établissement est tenu de réduire la concentration en radon en dessous de ce niveau et d'en contrôler l'efficacité dans un délai de 36 mois suivant la réception des résultats du mesurage initial en radon.</w:t>
      </w:r>
    </w:p>
    <w:p w:rsidR="001E4FB9" w:rsidRPr="001E4FB9" w:rsidRDefault="001E4FB9" w:rsidP="00B612D9">
      <w:pPr>
        <w:pStyle w:val="Default"/>
        <w:rPr>
          <w:rFonts w:ascii="Arial" w:hAnsi="Arial" w:cs="Arial"/>
        </w:rPr>
      </w:pPr>
    </w:p>
    <w:p w:rsidR="00B612D9" w:rsidRPr="00B612D9" w:rsidRDefault="00B612D9" w:rsidP="00B612D9">
      <w:pPr>
        <w:pStyle w:val="Default"/>
        <w:rPr>
          <w:rFonts w:ascii="Arial" w:hAnsi="Arial" w:cs="Arial"/>
        </w:rPr>
      </w:pPr>
      <w:r w:rsidRPr="00B612D9">
        <w:rPr>
          <w:rFonts w:ascii="Arial" w:hAnsi="Arial" w:cs="Arial"/>
        </w:rPr>
        <w:t xml:space="preserve">Des informations sur le radon sont disponibles sur le site internet suivant : </w:t>
      </w:r>
    </w:p>
    <w:p w:rsidR="004D055F" w:rsidRDefault="00B612D9" w:rsidP="00B612D9">
      <w:pPr>
        <w:pStyle w:val="Default"/>
        <w:rPr>
          <w:rFonts w:ascii="Arial" w:hAnsi="Arial" w:cs="Arial"/>
        </w:rPr>
      </w:pPr>
      <w:r w:rsidRPr="00B612D9">
        <w:rPr>
          <w:rFonts w:ascii="Arial" w:hAnsi="Arial" w:cs="Arial"/>
        </w:rPr>
        <w:t xml:space="preserve">– ministère chargé de la santé : </w:t>
      </w:r>
      <w:hyperlink r:id="rId7" w:history="1">
        <w:r w:rsidR="004D055F" w:rsidRPr="00A45771">
          <w:rPr>
            <w:rStyle w:val="Lienhypertexte"/>
            <w:rFonts w:ascii="Arial" w:hAnsi="Arial" w:cs="Arial"/>
          </w:rPr>
          <w:t>https://solidarites-sante.gouv.fr/sante-et-environnement/batiments/article/radon</w:t>
        </w:r>
      </w:hyperlink>
    </w:p>
    <w:p w:rsidR="00B612D9" w:rsidRPr="00B612D9" w:rsidRDefault="00B612D9" w:rsidP="00B612D9">
      <w:pPr>
        <w:pStyle w:val="Default"/>
        <w:rPr>
          <w:rFonts w:ascii="Arial" w:hAnsi="Arial" w:cs="Arial"/>
        </w:rPr>
      </w:pPr>
    </w:p>
    <w:p w:rsidR="00B612D9" w:rsidRPr="00B612D9" w:rsidRDefault="00B612D9" w:rsidP="004D055F">
      <w:pPr>
        <w:pStyle w:val="Default"/>
        <w:jc w:val="right"/>
        <w:rPr>
          <w:rFonts w:ascii="Arial" w:hAnsi="Arial" w:cs="Arial"/>
        </w:rPr>
      </w:pPr>
      <w:r w:rsidRPr="00B612D9">
        <w:rPr>
          <w:rFonts w:ascii="Arial" w:hAnsi="Arial" w:cs="Arial"/>
        </w:rPr>
        <w:t>« Date, nom, titre et signature d</w:t>
      </w:r>
      <w:r w:rsidR="004D055F">
        <w:rPr>
          <w:rFonts w:ascii="Arial" w:hAnsi="Arial" w:cs="Arial"/>
        </w:rPr>
        <w:t>u chef d’établissement</w:t>
      </w:r>
      <w:r w:rsidRPr="00B612D9">
        <w:rPr>
          <w:rFonts w:ascii="Arial" w:hAnsi="Arial" w:cs="Arial"/>
        </w:rPr>
        <w:t xml:space="preserve"> »</w:t>
      </w:r>
    </w:p>
    <w:sectPr w:rsidR="00B612D9" w:rsidRPr="00B612D9" w:rsidSect="006D13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0"/>
    <w:rsid w:val="001E4FB9"/>
    <w:rsid w:val="003322F9"/>
    <w:rsid w:val="004D055F"/>
    <w:rsid w:val="006D1399"/>
    <w:rsid w:val="00764D70"/>
    <w:rsid w:val="008479B2"/>
    <w:rsid w:val="00B612D9"/>
    <w:rsid w:val="00FB5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AD4C-C043-4F4F-8AF9-162C4B21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4D70"/>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B6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0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idarites-sante.gouv.fr/sante-et-environnement/batiments/article/rad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2665&amp;idArticle=LEGIARTI000006910032&amp;dateTexte=&amp;categorieLien=c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716B-F101-40E5-9EE7-86BBAD07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Poignet</dc:creator>
  <cp:keywords/>
  <dc:description/>
  <cp:lastModifiedBy>Lilian Petetin</cp:lastModifiedBy>
  <cp:revision>2</cp:revision>
  <dcterms:created xsi:type="dcterms:W3CDTF">2022-01-31T12:38:00Z</dcterms:created>
  <dcterms:modified xsi:type="dcterms:W3CDTF">2022-01-31T12:38:00Z</dcterms:modified>
</cp:coreProperties>
</file>